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2E87" w14:textId="616B0255" w:rsidR="00F9533C" w:rsidRPr="00A92B20" w:rsidRDefault="00BA1081" w:rsidP="00A92B20">
      <w:pPr>
        <w:spacing w:after="0" w:line="280" w:lineRule="exact"/>
        <w:ind w:left="72" w:right="0"/>
        <w:jc w:val="right"/>
        <w:rPr>
          <w:rFonts w:ascii="Arial" w:hAnsi="Arial" w:cs="Arial"/>
          <w:bCs/>
        </w:rPr>
      </w:pPr>
      <w:r w:rsidRPr="00BA1081">
        <w:rPr>
          <w:rFonts w:ascii="Arial" w:hAnsi="Arial" w:cs="Arial"/>
          <w:bCs/>
          <w:highlight w:val="yellow"/>
        </w:rPr>
        <w:t xml:space="preserve">CONCEPT d.d. </w:t>
      </w:r>
      <w:r w:rsidR="00C53C82">
        <w:rPr>
          <w:rFonts w:ascii="Arial" w:hAnsi="Arial" w:cs="Arial"/>
          <w:bCs/>
          <w:highlight w:val="yellow"/>
        </w:rPr>
        <w:t>25 januari 2022</w:t>
      </w:r>
      <w:r w:rsidR="005908F2" w:rsidRPr="00BA1081">
        <w:rPr>
          <w:rFonts w:ascii="Arial" w:hAnsi="Arial" w:cs="Arial"/>
          <w:bCs/>
          <w:highlight w:val="yellow"/>
        </w:rPr>
        <w:t xml:space="preserve"> </w:t>
      </w:r>
    </w:p>
    <w:p w14:paraId="3CB66EFD" w14:textId="0E98A54D" w:rsidR="00E75F9F" w:rsidRPr="00A92B20" w:rsidRDefault="00E75F9F" w:rsidP="00A92B20">
      <w:pPr>
        <w:spacing w:after="0" w:line="280" w:lineRule="exact"/>
        <w:ind w:left="72" w:right="0"/>
        <w:jc w:val="right"/>
        <w:rPr>
          <w:rFonts w:ascii="Arial" w:hAnsi="Arial" w:cs="Arial"/>
          <w:b/>
        </w:rPr>
      </w:pPr>
      <w:r w:rsidRPr="00A92B20">
        <w:rPr>
          <w:rFonts w:ascii="Arial" w:hAnsi="Arial" w:cs="Arial"/>
          <w:b/>
        </w:rPr>
        <w:t xml:space="preserve"> </w:t>
      </w:r>
    </w:p>
    <w:p w14:paraId="739CB9CC" w14:textId="77777777" w:rsidR="00C87D30" w:rsidRPr="00A92B20" w:rsidRDefault="00352B09" w:rsidP="00A92B20">
      <w:pPr>
        <w:pStyle w:val="Kop1"/>
        <w:spacing w:after="0" w:line="280" w:lineRule="exact"/>
        <w:ind w:left="43" w:right="0"/>
        <w:rPr>
          <w:rFonts w:ascii="Arial" w:hAnsi="Arial" w:cs="Arial"/>
          <w:b/>
        </w:rPr>
      </w:pPr>
      <w:r w:rsidRPr="00A92B20">
        <w:rPr>
          <w:rFonts w:ascii="Arial" w:hAnsi="Arial" w:cs="Arial"/>
          <w:b/>
        </w:rPr>
        <w:t>PROTOCOL PENSIOENAFSPRAKEN</w:t>
      </w:r>
    </w:p>
    <w:p w14:paraId="5E90B4E1" w14:textId="77777777" w:rsidR="008360BC" w:rsidRPr="00A92B20" w:rsidRDefault="008360BC" w:rsidP="00A92B20">
      <w:pPr>
        <w:spacing w:after="0" w:line="280" w:lineRule="exact"/>
        <w:ind w:left="43" w:right="23"/>
        <w:rPr>
          <w:rFonts w:ascii="Arial" w:hAnsi="Arial" w:cs="Arial"/>
        </w:rPr>
      </w:pPr>
    </w:p>
    <w:p w14:paraId="7077F99F" w14:textId="1B7CD19D" w:rsidR="008360BC" w:rsidRPr="00A92B20" w:rsidRDefault="001428B5" w:rsidP="00A92B20">
      <w:pPr>
        <w:spacing w:after="0" w:line="280" w:lineRule="exact"/>
        <w:ind w:left="43" w:right="23"/>
        <w:rPr>
          <w:rFonts w:ascii="Arial" w:hAnsi="Arial" w:cs="Arial"/>
        </w:rPr>
      </w:pPr>
      <w:r w:rsidRPr="00A92B20">
        <w:rPr>
          <w:rFonts w:ascii="Arial" w:hAnsi="Arial" w:cs="Arial"/>
        </w:rPr>
        <w:t>Tata Steel IJmuiden BV en de aangesloten bedrijven te IJmuiden, gezamenlijk vormend de Sociale Eenheid IJmuiden (verder te noeme</w:t>
      </w:r>
      <w:r w:rsidR="008360BC" w:rsidRPr="00A92B20">
        <w:rPr>
          <w:rFonts w:ascii="Arial" w:hAnsi="Arial" w:cs="Arial"/>
        </w:rPr>
        <w:t>n</w:t>
      </w:r>
      <w:r w:rsidR="00B512EA" w:rsidRPr="00A92B20">
        <w:rPr>
          <w:rFonts w:ascii="Arial" w:hAnsi="Arial" w:cs="Arial"/>
        </w:rPr>
        <w:t xml:space="preserve">: </w:t>
      </w:r>
      <w:r w:rsidR="008360BC" w:rsidRPr="00A92B20">
        <w:rPr>
          <w:rFonts w:ascii="Arial" w:hAnsi="Arial" w:cs="Arial"/>
        </w:rPr>
        <w:t>Tata Steel) en FNV Metaal</w:t>
      </w:r>
      <w:r w:rsidRPr="00A92B20">
        <w:rPr>
          <w:rFonts w:ascii="Arial" w:hAnsi="Arial" w:cs="Arial"/>
        </w:rPr>
        <w:t>, CNV Vakmensen, De Unie</w:t>
      </w:r>
      <w:r w:rsidR="00B512EA" w:rsidRPr="00A92B20">
        <w:rPr>
          <w:rFonts w:ascii="Arial" w:hAnsi="Arial" w:cs="Arial"/>
        </w:rPr>
        <w:t xml:space="preserve"> </w:t>
      </w:r>
      <w:r w:rsidRPr="00A92B20">
        <w:rPr>
          <w:rFonts w:ascii="Arial" w:hAnsi="Arial" w:cs="Arial"/>
        </w:rPr>
        <w:t>en VHP Tata Steel, de belangenorganisatie voor middelbaar en hoger personeel bij Tata Stee</w:t>
      </w:r>
      <w:r w:rsidR="004B72E9" w:rsidRPr="00A92B20">
        <w:rPr>
          <w:rFonts w:ascii="Arial" w:hAnsi="Arial" w:cs="Arial"/>
        </w:rPr>
        <w:t>l</w:t>
      </w:r>
      <w:r w:rsidRPr="00A92B20">
        <w:rPr>
          <w:rFonts w:ascii="Arial" w:hAnsi="Arial" w:cs="Arial"/>
        </w:rPr>
        <w:t xml:space="preserve"> (verder te noemen</w:t>
      </w:r>
      <w:r w:rsidR="00B512EA" w:rsidRPr="00A92B20">
        <w:rPr>
          <w:rFonts w:ascii="Arial" w:hAnsi="Arial" w:cs="Arial"/>
        </w:rPr>
        <w:t xml:space="preserve">: </w:t>
      </w:r>
      <w:r w:rsidR="00E73554" w:rsidRPr="00A92B20">
        <w:rPr>
          <w:rFonts w:ascii="Arial" w:hAnsi="Arial" w:cs="Arial"/>
        </w:rPr>
        <w:t>Vakverenigingen</w:t>
      </w:r>
      <w:r w:rsidRPr="00A92B20">
        <w:rPr>
          <w:rFonts w:ascii="Arial" w:hAnsi="Arial" w:cs="Arial"/>
        </w:rPr>
        <w:t xml:space="preserve">), zijn </w:t>
      </w:r>
      <w:r w:rsidR="004B72E9" w:rsidRPr="00A92B20">
        <w:rPr>
          <w:rFonts w:ascii="Arial" w:hAnsi="Arial" w:cs="Arial"/>
        </w:rPr>
        <w:t xml:space="preserve">voor de Sociale Eenheid IJmuiden voor de periode </w:t>
      </w:r>
      <w:r w:rsidR="00E26662" w:rsidRPr="00A92B20">
        <w:rPr>
          <w:rFonts w:ascii="Arial" w:hAnsi="Arial" w:cs="Arial"/>
        </w:rPr>
        <w:t xml:space="preserve">vanaf </w:t>
      </w:r>
      <w:r w:rsidR="004B72E9" w:rsidRPr="00A92B20">
        <w:rPr>
          <w:rFonts w:ascii="Arial" w:hAnsi="Arial" w:cs="Arial"/>
        </w:rPr>
        <w:t>1 januari 20</w:t>
      </w:r>
      <w:r w:rsidR="00B512EA" w:rsidRPr="00A92B20">
        <w:rPr>
          <w:rFonts w:ascii="Arial" w:hAnsi="Arial" w:cs="Arial"/>
        </w:rPr>
        <w:t>2</w:t>
      </w:r>
      <w:r w:rsidR="005908F2" w:rsidRPr="00A92B20">
        <w:rPr>
          <w:rFonts w:ascii="Arial" w:hAnsi="Arial" w:cs="Arial"/>
        </w:rPr>
        <w:t>2</w:t>
      </w:r>
      <w:r w:rsidR="004B72E9" w:rsidRPr="00A92B20">
        <w:rPr>
          <w:rFonts w:ascii="Arial" w:hAnsi="Arial" w:cs="Arial"/>
        </w:rPr>
        <w:t xml:space="preserve"> tot en met 31 december 202</w:t>
      </w:r>
      <w:r w:rsidR="005908F2" w:rsidRPr="00A92B20">
        <w:rPr>
          <w:rFonts w:ascii="Arial" w:hAnsi="Arial" w:cs="Arial"/>
        </w:rPr>
        <w:t>5</w:t>
      </w:r>
      <w:r w:rsidR="004B72E9" w:rsidRPr="00A92B20">
        <w:rPr>
          <w:rFonts w:ascii="Arial" w:hAnsi="Arial" w:cs="Arial"/>
        </w:rPr>
        <w:t xml:space="preserve"> </w:t>
      </w:r>
      <w:r w:rsidR="00352B09" w:rsidRPr="00A92B20">
        <w:rPr>
          <w:rFonts w:ascii="Arial" w:hAnsi="Arial" w:cs="Arial"/>
        </w:rPr>
        <w:t>de volgende pensioenafspraken o</w:t>
      </w:r>
      <w:r w:rsidRPr="00A92B20">
        <w:rPr>
          <w:rFonts w:ascii="Arial" w:hAnsi="Arial" w:cs="Arial"/>
        </w:rPr>
        <w:t>v</w:t>
      </w:r>
      <w:r w:rsidR="008360BC" w:rsidRPr="00A92B20">
        <w:rPr>
          <w:rFonts w:ascii="Arial" w:hAnsi="Arial" w:cs="Arial"/>
        </w:rPr>
        <w:t>e</w:t>
      </w:r>
      <w:r w:rsidRPr="00A92B20">
        <w:rPr>
          <w:rFonts w:ascii="Arial" w:hAnsi="Arial" w:cs="Arial"/>
        </w:rPr>
        <w:t>reengekomen.</w:t>
      </w:r>
    </w:p>
    <w:p w14:paraId="45B03974" w14:textId="1A29A757" w:rsidR="008360BC" w:rsidRPr="00A92B20" w:rsidRDefault="008360BC" w:rsidP="00A92B20">
      <w:pPr>
        <w:spacing w:after="0" w:line="280" w:lineRule="exact"/>
        <w:ind w:left="43" w:right="23"/>
        <w:rPr>
          <w:rFonts w:ascii="Arial" w:hAnsi="Arial" w:cs="Arial"/>
        </w:rPr>
      </w:pPr>
    </w:p>
    <w:p w14:paraId="4B0586E0" w14:textId="365D26BC" w:rsidR="00E73554" w:rsidRPr="00A92B20" w:rsidRDefault="00E73554" w:rsidP="00A92B20">
      <w:pPr>
        <w:spacing w:after="0" w:line="280" w:lineRule="exact"/>
        <w:ind w:left="43" w:right="23"/>
        <w:rPr>
          <w:rFonts w:ascii="Arial" w:hAnsi="Arial" w:cs="Arial"/>
        </w:rPr>
      </w:pPr>
      <w:r w:rsidRPr="00A92B20">
        <w:rPr>
          <w:rFonts w:ascii="Arial" w:hAnsi="Arial" w:cs="Arial"/>
        </w:rPr>
        <w:t xml:space="preserve">Tata Steel en Vakverenigingen worden hierna gezamenlijk aangeduid als ‘Partijen’; </w:t>
      </w:r>
    </w:p>
    <w:p w14:paraId="56A1C76C" w14:textId="77777777" w:rsidR="00E73554" w:rsidRPr="00A92B20" w:rsidRDefault="00E73554" w:rsidP="00A92B20">
      <w:pPr>
        <w:spacing w:after="0" w:line="280" w:lineRule="exact"/>
        <w:ind w:left="43" w:right="23"/>
        <w:rPr>
          <w:rFonts w:ascii="Arial" w:hAnsi="Arial" w:cs="Arial"/>
        </w:rPr>
      </w:pPr>
    </w:p>
    <w:p w14:paraId="018BE5C4" w14:textId="61456D57" w:rsidR="005908F2" w:rsidRPr="00A92B20" w:rsidRDefault="005908F2" w:rsidP="00A92B20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A92B20">
        <w:rPr>
          <w:rFonts w:ascii="Arial" w:hAnsi="Arial" w:cs="Arial"/>
        </w:rPr>
        <w:t xml:space="preserve">Partijen hechten aan een goede pensioenregeling die de opbouw van pensioen binnen de fiscale regels faciliteert. </w:t>
      </w:r>
      <w:r w:rsidR="00AF148E" w:rsidRPr="00A92B20">
        <w:rPr>
          <w:rFonts w:ascii="Arial" w:hAnsi="Arial" w:cs="Arial"/>
        </w:rPr>
        <w:t xml:space="preserve">Partijen hebben hierbij een </w:t>
      </w:r>
      <w:r w:rsidRPr="00A92B20">
        <w:rPr>
          <w:rFonts w:ascii="Arial" w:hAnsi="Arial" w:cs="Arial"/>
        </w:rPr>
        <w:t>gedeelde pensioendoelstelling</w:t>
      </w:r>
      <w:r w:rsidR="00AF148E" w:rsidRPr="00A92B20">
        <w:rPr>
          <w:rFonts w:ascii="Arial" w:hAnsi="Arial" w:cs="Arial"/>
        </w:rPr>
        <w:t xml:space="preserve"> die ziet op </w:t>
      </w:r>
      <w:r w:rsidRPr="00A92B20">
        <w:rPr>
          <w:rFonts w:ascii="Arial" w:hAnsi="Arial" w:cs="Arial"/>
        </w:rPr>
        <w:t xml:space="preserve">het opbouwen en uitkeren van een goed en waardevast pensioen binnen de grenzen van de risicohouding. Hierbij </w:t>
      </w:r>
      <w:r w:rsidR="00AF148E" w:rsidRPr="00A92B20">
        <w:rPr>
          <w:rFonts w:ascii="Arial" w:hAnsi="Arial" w:cs="Arial"/>
        </w:rPr>
        <w:t xml:space="preserve">wordt als </w:t>
      </w:r>
      <w:r w:rsidRPr="00A92B20">
        <w:rPr>
          <w:rFonts w:ascii="Arial" w:hAnsi="Arial" w:cs="Arial"/>
        </w:rPr>
        <w:t xml:space="preserve">‘goed’ </w:t>
      </w:r>
      <w:r w:rsidR="00AF148E" w:rsidRPr="00A92B20">
        <w:rPr>
          <w:rFonts w:ascii="Arial" w:hAnsi="Arial" w:cs="Arial"/>
        </w:rPr>
        <w:t xml:space="preserve">gekwalificeerd </w:t>
      </w:r>
      <w:r w:rsidRPr="00A92B20">
        <w:rPr>
          <w:rFonts w:ascii="Arial" w:hAnsi="Arial" w:cs="Arial"/>
        </w:rPr>
        <w:t>de in het Pensioenakkoord genoemde maximale ambitie van 75% en 80% reëel middelloon na 40 respectievelijk 42</w:t>
      </w:r>
      <w:r w:rsidR="002214D7">
        <w:rPr>
          <w:rFonts w:ascii="Arial" w:hAnsi="Arial" w:cs="Arial"/>
        </w:rPr>
        <w:t xml:space="preserve"> opbouwjaren.</w:t>
      </w:r>
      <w:r w:rsidRPr="00A92B20">
        <w:rPr>
          <w:rFonts w:ascii="Arial" w:hAnsi="Arial" w:cs="Arial"/>
        </w:rPr>
        <w:t xml:space="preserve"> </w:t>
      </w:r>
    </w:p>
    <w:p w14:paraId="13452D67" w14:textId="77777777" w:rsidR="005908F2" w:rsidRPr="00A92B20" w:rsidRDefault="005908F2" w:rsidP="00A92B20">
      <w:pPr>
        <w:pStyle w:val="Lijstalinea"/>
        <w:spacing w:after="0" w:line="280" w:lineRule="exact"/>
        <w:ind w:left="567" w:right="23"/>
        <w:rPr>
          <w:rFonts w:ascii="Arial" w:hAnsi="Arial" w:cs="Arial"/>
        </w:rPr>
      </w:pPr>
    </w:p>
    <w:p w14:paraId="0D52F3B6" w14:textId="6258EBE3" w:rsidR="00A92B20" w:rsidRPr="004A181B" w:rsidRDefault="00C34529" w:rsidP="004A181B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Voor de financiering van de huidige pensioenregeling spreken </w:t>
      </w:r>
      <w:r w:rsidR="00321F9F" w:rsidRPr="00BA1081">
        <w:rPr>
          <w:rFonts w:ascii="Arial" w:hAnsi="Arial" w:cs="Arial"/>
        </w:rPr>
        <w:t xml:space="preserve">Partijen af dat voor de periode vanaf 1 januari 2022 tot en met 31 december 2025 </w:t>
      </w:r>
      <w:r w:rsidR="00BA1081" w:rsidRPr="00BA1081">
        <w:rPr>
          <w:rFonts w:ascii="Arial" w:hAnsi="Arial" w:cs="Arial"/>
        </w:rPr>
        <w:t>(vier jaa</w:t>
      </w:r>
      <w:r w:rsidR="0088623B">
        <w:rPr>
          <w:rFonts w:ascii="Arial" w:hAnsi="Arial" w:cs="Arial"/>
        </w:rPr>
        <w:t>r</w:t>
      </w:r>
      <w:r w:rsidR="00BA1081" w:rsidRPr="00BA1081">
        <w:rPr>
          <w:rFonts w:ascii="Arial" w:hAnsi="Arial" w:cs="Arial"/>
        </w:rPr>
        <w:t xml:space="preserve">) </w:t>
      </w:r>
      <w:r w:rsidR="00321F9F" w:rsidRPr="00BA1081">
        <w:rPr>
          <w:rFonts w:ascii="Arial" w:hAnsi="Arial" w:cs="Arial"/>
        </w:rPr>
        <w:t>de gedempte kostendekkende premie wordt gehanteerd</w:t>
      </w:r>
      <w:r>
        <w:rPr>
          <w:rFonts w:ascii="Arial" w:hAnsi="Arial" w:cs="Arial"/>
        </w:rPr>
        <w:t>.</w:t>
      </w:r>
      <w:r w:rsidR="00792249" w:rsidRPr="00792249">
        <w:rPr>
          <w:rFonts w:ascii="Helvetica" w:hAnsi="Helvetica" w:cs="Helvetica"/>
          <w:sz w:val="23"/>
          <w:szCs w:val="23"/>
        </w:rPr>
        <w:t xml:space="preserve"> </w:t>
      </w:r>
      <w:r w:rsidRPr="00C34529">
        <w:rPr>
          <w:rFonts w:ascii="Helvetica" w:hAnsi="Helvetica" w:cs="Helvetica"/>
          <w:sz w:val="23"/>
          <w:szCs w:val="23"/>
        </w:rPr>
        <w:t xml:space="preserve">Bij de vaststelling van de gedempte kostendekkende premie gebruikt het pensioenfonds zowel de maximale verwachte rendementen als de minimale verwachtingswaarde voor de groeivoet van het prijsindexcijfer, welke gelden vanaf 1 januari 2020 en welke zijn opgenomen in het Besluit financieel toetsingskader pensioenfondsen. </w:t>
      </w:r>
      <w:r w:rsidR="00321F9F" w:rsidRPr="004A181B">
        <w:rPr>
          <w:rFonts w:ascii="Arial" w:hAnsi="Arial" w:cs="Arial"/>
        </w:rPr>
        <w:t>Voor 2022 bedraagt de</w:t>
      </w:r>
      <w:r w:rsidR="00A8426B">
        <w:rPr>
          <w:rFonts w:ascii="Arial" w:hAnsi="Arial" w:cs="Arial"/>
        </w:rPr>
        <w:t>ze</w:t>
      </w:r>
      <w:r w:rsidR="00321F9F" w:rsidRPr="004A181B">
        <w:rPr>
          <w:rFonts w:ascii="Arial" w:hAnsi="Arial" w:cs="Arial"/>
        </w:rPr>
        <w:t xml:space="preserve"> kostendekkende premie 28,7% van de pensioengrondslag; in de jaren 2023, 2024 en 20</w:t>
      </w:r>
      <w:r w:rsidR="004A181B">
        <w:rPr>
          <w:rFonts w:ascii="Arial" w:hAnsi="Arial" w:cs="Arial"/>
        </w:rPr>
        <w:t>25</w:t>
      </w:r>
      <w:r w:rsidR="00321F9F" w:rsidRPr="004A181B">
        <w:rPr>
          <w:rFonts w:ascii="Arial" w:hAnsi="Arial" w:cs="Arial"/>
        </w:rPr>
        <w:t xml:space="preserve"> volgt de</w:t>
      </w:r>
      <w:r w:rsidR="00A8426B">
        <w:rPr>
          <w:rFonts w:ascii="Arial" w:hAnsi="Arial" w:cs="Arial"/>
        </w:rPr>
        <w:t>ze</w:t>
      </w:r>
      <w:r w:rsidR="00321F9F" w:rsidRPr="004A181B">
        <w:rPr>
          <w:rFonts w:ascii="Arial" w:hAnsi="Arial" w:cs="Arial"/>
        </w:rPr>
        <w:t xml:space="preserve"> gedempte kostendekkende premie uit de berekeningen van het pensioenfonds.</w:t>
      </w:r>
      <w:r w:rsidR="00A92B20" w:rsidRPr="004A181B">
        <w:rPr>
          <w:rFonts w:ascii="Arial" w:hAnsi="Arial" w:cs="Arial"/>
        </w:rPr>
        <w:t xml:space="preserve"> </w:t>
      </w:r>
    </w:p>
    <w:p w14:paraId="425C36ED" w14:textId="77777777" w:rsidR="00A92B20" w:rsidRPr="00A92B20" w:rsidRDefault="00A92B20" w:rsidP="00A92B20">
      <w:pPr>
        <w:pStyle w:val="Lijstalinea"/>
        <w:spacing w:after="0" w:line="280" w:lineRule="exact"/>
        <w:rPr>
          <w:rFonts w:ascii="Arial" w:hAnsi="Arial" w:cs="Arial"/>
        </w:rPr>
      </w:pPr>
    </w:p>
    <w:p w14:paraId="2EB521CE" w14:textId="485E6080" w:rsidR="00A92B20" w:rsidRPr="00A92B20" w:rsidRDefault="00A92B20" w:rsidP="00A92B20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A92B20">
        <w:rPr>
          <w:rFonts w:ascii="Arial" w:hAnsi="Arial" w:cs="Arial"/>
        </w:rPr>
        <w:t xml:space="preserve">Daarnaast wordt </w:t>
      </w:r>
      <w:r w:rsidR="00731174">
        <w:rPr>
          <w:rFonts w:ascii="Arial" w:hAnsi="Arial" w:cs="Arial"/>
        </w:rPr>
        <w:t xml:space="preserve">door Tata Steel </w:t>
      </w:r>
      <w:r w:rsidRPr="00A92B20">
        <w:rPr>
          <w:rFonts w:ascii="Arial" w:hAnsi="Arial" w:cs="Arial"/>
          <w:b/>
          <w:bCs/>
        </w:rPr>
        <w:t>in 2022</w:t>
      </w:r>
      <w:r w:rsidRPr="00A92B20">
        <w:rPr>
          <w:rFonts w:ascii="Arial" w:hAnsi="Arial" w:cs="Arial"/>
        </w:rPr>
        <w:t xml:space="preserve"> een extra premiebedrag van 0,8% van de pensioengrondslag in het premie- en indexatiedepot gestort</w:t>
      </w:r>
      <w:r w:rsidR="00BA1081">
        <w:rPr>
          <w:rFonts w:ascii="Arial" w:hAnsi="Arial" w:cs="Arial"/>
        </w:rPr>
        <w:t xml:space="preserve">. Net als </w:t>
      </w:r>
      <w:r w:rsidR="00750F61">
        <w:rPr>
          <w:rFonts w:ascii="Arial" w:hAnsi="Arial" w:cs="Arial"/>
        </w:rPr>
        <w:t xml:space="preserve">bij </w:t>
      </w:r>
      <w:r w:rsidR="00BF5A01">
        <w:rPr>
          <w:rFonts w:ascii="Arial" w:hAnsi="Arial" w:cs="Arial"/>
        </w:rPr>
        <w:t xml:space="preserve">de </w:t>
      </w:r>
      <w:r w:rsidR="00BA1081">
        <w:rPr>
          <w:rFonts w:ascii="Arial" w:hAnsi="Arial" w:cs="Arial"/>
        </w:rPr>
        <w:t>gedempte kostendekkende premie van artikel 2</w:t>
      </w:r>
      <w:r w:rsidR="004F3EF4">
        <w:rPr>
          <w:rFonts w:ascii="Arial" w:hAnsi="Arial" w:cs="Arial"/>
        </w:rPr>
        <w:t xml:space="preserve"> </w:t>
      </w:r>
      <w:r w:rsidR="00BA1081">
        <w:rPr>
          <w:rFonts w:ascii="Arial" w:hAnsi="Arial" w:cs="Arial"/>
        </w:rPr>
        <w:t xml:space="preserve">komt 70% </w:t>
      </w:r>
      <w:r w:rsidR="00131936">
        <w:rPr>
          <w:rFonts w:ascii="Arial" w:hAnsi="Arial" w:cs="Arial"/>
        </w:rPr>
        <w:t>van dit extra premiebedrag</w:t>
      </w:r>
      <w:r w:rsidR="00731174">
        <w:rPr>
          <w:rFonts w:ascii="Arial" w:hAnsi="Arial" w:cs="Arial"/>
        </w:rPr>
        <w:t xml:space="preserve"> </w:t>
      </w:r>
      <w:r w:rsidR="00BA1081">
        <w:rPr>
          <w:rFonts w:ascii="Arial" w:hAnsi="Arial" w:cs="Arial"/>
        </w:rPr>
        <w:t xml:space="preserve">voor rekening van Tata Steel en </w:t>
      </w:r>
      <w:r w:rsidR="00731174">
        <w:rPr>
          <w:rFonts w:ascii="Arial" w:hAnsi="Arial" w:cs="Arial"/>
        </w:rPr>
        <w:t xml:space="preserve">de overige </w:t>
      </w:r>
      <w:r w:rsidR="00BA1081">
        <w:rPr>
          <w:rFonts w:ascii="Arial" w:hAnsi="Arial" w:cs="Arial"/>
        </w:rPr>
        <w:t xml:space="preserve">30% voor rekening van de werknemers. </w:t>
      </w:r>
    </w:p>
    <w:p w14:paraId="3B15D354" w14:textId="77777777" w:rsidR="00BA1081" w:rsidRDefault="00BA1081" w:rsidP="00BA1081">
      <w:pPr>
        <w:pStyle w:val="Lijstalinea"/>
        <w:spacing w:after="0" w:line="280" w:lineRule="exact"/>
        <w:ind w:left="567" w:right="23"/>
        <w:rPr>
          <w:rFonts w:ascii="Arial" w:hAnsi="Arial" w:cs="Arial"/>
        </w:rPr>
      </w:pPr>
    </w:p>
    <w:p w14:paraId="760CFAEC" w14:textId="328DD2DA" w:rsidR="00BA1081" w:rsidRDefault="00BA1081" w:rsidP="00BA1081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BA1081">
        <w:rPr>
          <w:rFonts w:ascii="Arial" w:hAnsi="Arial" w:cs="Arial"/>
        </w:rPr>
        <w:t xml:space="preserve">Als het bestuur van het pensioenfonds </w:t>
      </w:r>
      <w:r w:rsidRPr="004F3EF4">
        <w:rPr>
          <w:rFonts w:ascii="Arial" w:hAnsi="Arial" w:cs="Arial"/>
          <w:u w:val="single"/>
        </w:rPr>
        <w:t>geen besluit</w:t>
      </w:r>
      <w:r w:rsidRPr="00BA1081">
        <w:rPr>
          <w:rFonts w:ascii="Arial" w:hAnsi="Arial" w:cs="Arial"/>
        </w:rPr>
        <w:t xml:space="preserve"> neemt tot volledige indexatie </w:t>
      </w:r>
      <w:r w:rsidR="00203F2F">
        <w:rPr>
          <w:rFonts w:ascii="Arial" w:hAnsi="Arial" w:cs="Arial"/>
        </w:rPr>
        <w:t xml:space="preserve">over 2022 </w:t>
      </w:r>
      <w:r w:rsidRPr="00BA1081">
        <w:rPr>
          <w:rFonts w:ascii="Arial" w:hAnsi="Arial" w:cs="Arial"/>
        </w:rPr>
        <w:t xml:space="preserve">wordt het premie- en indexatiedepot aangewend voor extra indexatie </w:t>
      </w:r>
      <w:r w:rsidR="00731174">
        <w:rPr>
          <w:rFonts w:ascii="Arial" w:hAnsi="Arial" w:cs="Arial"/>
        </w:rPr>
        <w:t xml:space="preserve">van actieve deelnemers </w:t>
      </w:r>
      <w:r w:rsidRPr="00BA1081">
        <w:rPr>
          <w:rFonts w:ascii="Arial" w:hAnsi="Arial" w:cs="Arial"/>
        </w:rPr>
        <w:t xml:space="preserve">(tot maximaal het niveau van volledige indexatie). </w:t>
      </w:r>
    </w:p>
    <w:p w14:paraId="73A0A3F3" w14:textId="77777777" w:rsidR="00BA1081" w:rsidRDefault="00BA1081" w:rsidP="00BA1081">
      <w:pPr>
        <w:pStyle w:val="Lijstalinea"/>
        <w:spacing w:after="0" w:line="280" w:lineRule="exact"/>
        <w:ind w:left="567" w:right="23"/>
        <w:rPr>
          <w:rFonts w:ascii="Arial" w:hAnsi="Arial" w:cs="Arial"/>
        </w:rPr>
      </w:pPr>
    </w:p>
    <w:p w14:paraId="47FD33F6" w14:textId="2BFA7CEF" w:rsidR="00BA1081" w:rsidRPr="00BA1081" w:rsidRDefault="00BA1081" w:rsidP="00BA1081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bookmarkStart w:id="0" w:name="_Hlk91059985"/>
      <w:r w:rsidRPr="00BA1081">
        <w:rPr>
          <w:rFonts w:ascii="Arial" w:hAnsi="Arial" w:cs="Arial"/>
        </w:rPr>
        <w:t xml:space="preserve">Als het bestuur van SPH </w:t>
      </w:r>
      <w:r w:rsidR="00156496" w:rsidRPr="004F3EF4">
        <w:rPr>
          <w:rFonts w:ascii="Arial" w:hAnsi="Arial" w:cs="Arial"/>
          <w:u w:val="single"/>
        </w:rPr>
        <w:t xml:space="preserve">wel </w:t>
      </w:r>
      <w:r w:rsidRPr="004F3EF4">
        <w:rPr>
          <w:rFonts w:ascii="Arial" w:hAnsi="Arial" w:cs="Arial"/>
          <w:u w:val="single"/>
        </w:rPr>
        <w:t>een besluit</w:t>
      </w:r>
      <w:r w:rsidRPr="00BA1081">
        <w:rPr>
          <w:rFonts w:ascii="Arial" w:hAnsi="Arial" w:cs="Arial"/>
        </w:rPr>
        <w:t xml:space="preserve"> neemt tot volledige indexatie</w:t>
      </w:r>
      <w:r w:rsidR="00203F2F">
        <w:rPr>
          <w:rFonts w:ascii="Arial" w:hAnsi="Arial" w:cs="Arial"/>
        </w:rPr>
        <w:t xml:space="preserve"> over 2022</w:t>
      </w:r>
      <w:r w:rsidRPr="00BA1081">
        <w:rPr>
          <w:rFonts w:ascii="Arial" w:hAnsi="Arial" w:cs="Arial"/>
        </w:rPr>
        <w:t xml:space="preserve">, wordt het premie- en indexatiedepot aangewend voor de premie van 2023 </w:t>
      </w:r>
      <w:r w:rsidR="00A31475">
        <w:rPr>
          <w:rFonts w:ascii="Arial" w:hAnsi="Arial" w:cs="Arial"/>
        </w:rPr>
        <w:t xml:space="preserve"> die door </w:t>
      </w:r>
      <w:r w:rsidR="00C53C82">
        <w:rPr>
          <w:rFonts w:ascii="Arial" w:hAnsi="Arial" w:cs="Arial"/>
        </w:rPr>
        <w:t>P</w:t>
      </w:r>
      <w:r w:rsidR="00A31475">
        <w:rPr>
          <w:rFonts w:ascii="Arial" w:hAnsi="Arial" w:cs="Arial"/>
        </w:rPr>
        <w:t xml:space="preserve">artijen is </w:t>
      </w:r>
      <w:r w:rsidR="005D13A9">
        <w:rPr>
          <w:rFonts w:ascii="Arial" w:hAnsi="Arial" w:cs="Arial"/>
        </w:rPr>
        <w:t>vastgesteld op</w:t>
      </w:r>
      <w:r w:rsidR="00707098">
        <w:rPr>
          <w:rFonts w:ascii="Arial" w:hAnsi="Arial" w:cs="Arial"/>
        </w:rPr>
        <w:t xml:space="preserve"> </w:t>
      </w:r>
      <w:r w:rsidRPr="00BA1081">
        <w:rPr>
          <w:rFonts w:ascii="Arial" w:hAnsi="Arial" w:cs="Arial"/>
        </w:rPr>
        <w:t xml:space="preserve">de gedempte kostendekkende premie </w:t>
      </w:r>
      <w:r w:rsidR="00731174">
        <w:rPr>
          <w:rFonts w:ascii="Arial" w:hAnsi="Arial" w:cs="Arial"/>
        </w:rPr>
        <w:t>in 20</w:t>
      </w:r>
      <w:r w:rsidR="007B0E51">
        <w:rPr>
          <w:rFonts w:ascii="Arial" w:hAnsi="Arial" w:cs="Arial"/>
        </w:rPr>
        <w:t>2</w:t>
      </w:r>
      <w:r w:rsidR="00731174">
        <w:rPr>
          <w:rFonts w:ascii="Arial" w:hAnsi="Arial" w:cs="Arial"/>
        </w:rPr>
        <w:t xml:space="preserve">3 </w:t>
      </w:r>
      <w:r w:rsidRPr="00BA1081">
        <w:rPr>
          <w:rFonts w:ascii="Arial" w:hAnsi="Arial" w:cs="Arial"/>
        </w:rPr>
        <w:t xml:space="preserve">plus </w:t>
      </w:r>
      <w:r w:rsidR="004F3EF4">
        <w:rPr>
          <w:rFonts w:ascii="Arial" w:hAnsi="Arial" w:cs="Arial"/>
        </w:rPr>
        <w:t xml:space="preserve">het verschil </w:t>
      </w:r>
      <w:r w:rsidRPr="00BA1081">
        <w:rPr>
          <w:rFonts w:ascii="Arial" w:hAnsi="Arial" w:cs="Arial"/>
        </w:rPr>
        <w:t xml:space="preserve">tot </w:t>
      </w:r>
      <w:r w:rsidR="004A181B">
        <w:rPr>
          <w:rFonts w:ascii="Arial" w:hAnsi="Arial" w:cs="Arial"/>
        </w:rPr>
        <w:t xml:space="preserve">aan </w:t>
      </w:r>
      <w:r w:rsidRPr="00BA1081">
        <w:rPr>
          <w:rFonts w:ascii="Arial" w:hAnsi="Arial" w:cs="Arial"/>
        </w:rPr>
        <w:t>29,5%</w:t>
      </w:r>
      <w:r w:rsidR="0088422A">
        <w:rPr>
          <w:rFonts w:ascii="Arial" w:hAnsi="Arial" w:cs="Arial"/>
        </w:rPr>
        <w:t>, met een maximum van 1%</w:t>
      </w:r>
      <w:r w:rsidR="00C34529">
        <w:rPr>
          <w:rFonts w:ascii="Arial" w:hAnsi="Arial" w:cs="Arial"/>
        </w:rPr>
        <w:t xml:space="preserve"> van de pensioengrondslag</w:t>
      </w:r>
      <w:r w:rsidRPr="00BA1081">
        <w:rPr>
          <w:rFonts w:ascii="Arial" w:hAnsi="Arial" w:cs="Arial"/>
        </w:rPr>
        <w:t xml:space="preserve">. Hiervan wordt het </w:t>
      </w:r>
      <w:r w:rsidR="007B0E51">
        <w:rPr>
          <w:rFonts w:ascii="Arial" w:hAnsi="Arial" w:cs="Arial"/>
        </w:rPr>
        <w:t>saldo</w:t>
      </w:r>
      <w:r w:rsidRPr="00BA1081">
        <w:rPr>
          <w:rFonts w:ascii="Arial" w:hAnsi="Arial" w:cs="Arial"/>
        </w:rPr>
        <w:t xml:space="preserve"> uit het premie- en indexatiedepot afgetrokken.</w:t>
      </w:r>
    </w:p>
    <w:bookmarkEnd w:id="0"/>
    <w:p w14:paraId="1F79CA85" w14:textId="42574601" w:rsidR="00BF5A01" w:rsidRDefault="00BF5A01">
      <w:pPr>
        <w:spacing w:after="160" w:line="259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2560B8" w14:textId="77777777" w:rsidR="00BA1081" w:rsidRPr="00BA1081" w:rsidRDefault="00BA1081" w:rsidP="00BA1081">
      <w:pPr>
        <w:pStyle w:val="Lijstalinea"/>
        <w:rPr>
          <w:rFonts w:ascii="Arial" w:hAnsi="Arial" w:cs="Arial"/>
        </w:rPr>
      </w:pPr>
    </w:p>
    <w:p w14:paraId="03A6BF94" w14:textId="1DD4A69D" w:rsidR="009B452D" w:rsidRDefault="00156496" w:rsidP="00117D7A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4F3EF4">
        <w:rPr>
          <w:rFonts w:ascii="Arial" w:hAnsi="Arial" w:cs="Arial"/>
        </w:rPr>
        <w:t xml:space="preserve">Voor de jaren </w:t>
      </w:r>
      <w:r w:rsidRPr="004F3EF4">
        <w:rPr>
          <w:rFonts w:ascii="Arial" w:hAnsi="Arial" w:cs="Arial"/>
          <w:b/>
          <w:bCs/>
        </w:rPr>
        <w:t>2023 en 2024</w:t>
      </w:r>
      <w:r w:rsidRPr="004F3EF4">
        <w:rPr>
          <w:rFonts w:ascii="Arial" w:hAnsi="Arial" w:cs="Arial"/>
        </w:rPr>
        <w:t xml:space="preserve"> geldt dezelfde systematiek</w:t>
      </w:r>
      <w:r w:rsidR="004F3EF4" w:rsidRPr="004F3EF4">
        <w:rPr>
          <w:rFonts w:ascii="Arial" w:hAnsi="Arial" w:cs="Arial"/>
        </w:rPr>
        <w:t xml:space="preserve"> als in 202</w:t>
      </w:r>
      <w:r w:rsidR="004A181B">
        <w:rPr>
          <w:rFonts w:ascii="Arial" w:hAnsi="Arial" w:cs="Arial"/>
        </w:rPr>
        <w:t>2</w:t>
      </w:r>
      <w:r w:rsidRPr="004F3EF4">
        <w:rPr>
          <w:rFonts w:ascii="Arial" w:hAnsi="Arial" w:cs="Arial"/>
        </w:rPr>
        <w:t>.</w:t>
      </w:r>
      <w:r w:rsidR="004F3EF4" w:rsidRPr="004F3EF4">
        <w:rPr>
          <w:rFonts w:ascii="Arial" w:hAnsi="Arial" w:cs="Arial"/>
        </w:rPr>
        <w:t xml:space="preserve"> Dit betekent dat Tata Steel ook i</w:t>
      </w:r>
      <w:r w:rsidRPr="004F3EF4">
        <w:rPr>
          <w:rFonts w:ascii="Arial" w:hAnsi="Arial" w:cs="Arial"/>
        </w:rPr>
        <w:t xml:space="preserve">n 2023 en 2024 </w:t>
      </w:r>
      <w:r w:rsidR="004F3EF4" w:rsidRPr="004F3EF4">
        <w:rPr>
          <w:rFonts w:ascii="Arial" w:hAnsi="Arial" w:cs="Arial"/>
        </w:rPr>
        <w:t xml:space="preserve">een extra premiebedrag in het premie- en indexatiedepot zal storten. </w:t>
      </w:r>
      <w:r w:rsidR="004F3EF4">
        <w:rPr>
          <w:rFonts w:ascii="Arial" w:hAnsi="Arial" w:cs="Arial"/>
        </w:rPr>
        <w:t xml:space="preserve">Dit extra premiebedrag is </w:t>
      </w:r>
      <w:r w:rsidRPr="004F3EF4">
        <w:rPr>
          <w:rFonts w:ascii="Arial" w:hAnsi="Arial" w:cs="Arial"/>
        </w:rPr>
        <w:t>h</w:t>
      </w:r>
      <w:r w:rsidR="00A92B20" w:rsidRPr="004F3EF4">
        <w:rPr>
          <w:rFonts w:ascii="Arial" w:hAnsi="Arial" w:cs="Arial"/>
        </w:rPr>
        <w:t xml:space="preserve">et verschil </w:t>
      </w:r>
      <w:r w:rsidRPr="004F3EF4">
        <w:rPr>
          <w:rFonts w:ascii="Arial" w:hAnsi="Arial" w:cs="Arial"/>
        </w:rPr>
        <w:t xml:space="preserve">tussen 29,5% en de </w:t>
      </w:r>
      <w:r w:rsidR="00A92B20" w:rsidRPr="004F3EF4">
        <w:rPr>
          <w:rFonts w:ascii="Arial" w:hAnsi="Arial" w:cs="Arial"/>
        </w:rPr>
        <w:t>gedempte kostendekkende premie</w:t>
      </w:r>
      <w:r w:rsidRPr="004F3EF4">
        <w:rPr>
          <w:rFonts w:ascii="Arial" w:hAnsi="Arial" w:cs="Arial"/>
        </w:rPr>
        <w:t xml:space="preserve"> </w:t>
      </w:r>
      <w:r w:rsidR="004F3EF4">
        <w:rPr>
          <w:rFonts w:ascii="Arial" w:hAnsi="Arial" w:cs="Arial"/>
        </w:rPr>
        <w:t>in</w:t>
      </w:r>
      <w:r w:rsidR="0088422A">
        <w:rPr>
          <w:rFonts w:ascii="Arial" w:hAnsi="Arial" w:cs="Arial"/>
        </w:rPr>
        <w:t xml:space="preserve"> deze jaren</w:t>
      </w:r>
      <w:r w:rsidR="00A92B20" w:rsidRPr="004F3EF4">
        <w:rPr>
          <w:rFonts w:ascii="Arial" w:hAnsi="Arial" w:cs="Arial"/>
        </w:rPr>
        <w:t xml:space="preserve">, </w:t>
      </w:r>
      <w:r w:rsidR="004F3EF4" w:rsidRPr="004F3EF4">
        <w:rPr>
          <w:rFonts w:ascii="Arial" w:hAnsi="Arial" w:cs="Arial"/>
        </w:rPr>
        <w:t xml:space="preserve">waarbij een </w:t>
      </w:r>
      <w:r w:rsidR="00A92B20" w:rsidRPr="004F3EF4">
        <w:rPr>
          <w:rFonts w:ascii="Arial" w:hAnsi="Arial" w:cs="Arial"/>
        </w:rPr>
        <w:t xml:space="preserve">maximum </w:t>
      </w:r>
      <w:r w:rsidR="004F3EF4" w:rsidRPr="004F3EF4">
        <w:rPr>
          <w:rFonts w:ascii="Arial" w:hAnsi="Arial" w:cs="Arial"/>
        </w:rPr>
        <w:t xml:space="preserve">geldt </w:t>
      </w:r>
      <w:r w:rsidRPr="004F3EF4">
        <w:rPr>
          <w:rFonts w:ascii="Arial" w:hAnsi="Arial" w:cs="Arial"/>
        </w:rPr>
        <w:t xml:space="preserve">van </w:t>
      </w:r>
      <w:r w:rsidR="00A92B20" w:rsidRPr="004F3EF4">
        <w:rPr>
          <w:rFonts w:ascii="Arial" w:hAnsi="Arial" w:cs="Arial"/>
        </w:rPr>
        <w:t xml:space="preserve">1% </w:t>
      </w:r>
      <w:r w:rsidR="00C34529">
        <w:rPr>
          <w:rFonts w:ascii="Arial" w:hAnsi="Arial" w:cs="Arial"/>
        </w:rPr>
        <w:t>van de pensio</w:t>
      </w:r>
      <w:r w:rsidR="00AB2BB0">
        <w:rPr>
          <w:rFonts w:ascii="Arial" w:hAnsi="Arial" w:cs="Arial"/>
        </w:rPr>
        <w:t xml:space="preserve">engrondslag </w:t>
      </w:r>
      <w:r w:rsidR="00A92B20" w:rsidRPr="004F3EF4">
        <w:rPr>
          <w:rFonts w:ascii="Arial" w:hAnsi="Arial" w:cs="Arial"/>
        </w:rPr>
        <w:t xml:space="preserve">(opnieuw 70% </w:t>
      </w:r>
      <w:r w:rsidR="009B452D">
        <w:rPr>
          <w:rFonts w:ascii="Arial" w:hAnsi="Arial" w:cs="Arial"/>
        </w:rPr>
        <w:t xml:space="preserve">van dit extra premiebedrag is </w:t>
      </w:r>
      <w:r w:rsidR="00A92B20" w:rsidRPr="004F3EF4">
        <w:rPr>
          <w:rFonts w:ascii="Arial" w:hAnsi="Arial" w:cs="Arial"/>
        </w:rPr>
        <w:t>voor rekening van Tata Steel</w:t>
      </w:r>
      <w:r w:rsidR="00E96707" w:rsidRPr="004F3EF4">
        <w:rPr>
          <w:rFonts w:ascii="Arial" w:hAnsi="Arial" w:cs="Arial"/>
        </w:rPr>
        <w:t xml:space="preserve"> en </w:t>
      </w:r>
      <w:r w:rsidR="009B452D">
        <w:rPr>
          <w:rFonts w:ascii="Arial" w:hAnsi="Arial" w:cs="Arial"/>
        </w:rPr>
        <w:t xml:space="preserve">de overige </w:t>
      </w:r>
      <w:r w:rsidR="00E96707" w:rsidRPr="004F3EF4">
        <w:rPr>
          <w:rFonts w:ascii="Arial" w:hAnsi="Arial" w:cs="Arial"/>
        </w:rPr>
        <w:t xml:space="preserve">30% </w:t>
      </w:r>
      <w:r w:rsidR="009B452D">
        <w:rPr>
          <w:rFonts w:ascii="Arial" w:hAnsi="Arial" w:cs="Arial"/>
        </w:rPr>
        <w:t xml:space="preserve">is </w:t>
      </w:r>
      <w:r w:rsidR="00E96707" w:rsidRPr="004F3EF4">
        <w:rPr>
          <w:rFonts w:ascii="Arial" w:hAnsi="Arial" w:cs="Arial"/>
        </w:rPr>
        <w:t>voor rekening van de werknemers)</w:t>
      </w:r>
      <w:r w:rsidR="00A92B20" w:rsidRPr="004F3EF4">
        <w:rPr>
          <w:rFonts w:ascii="Arial" w:hAnsi="Arial" w:cs="Arial"/>
        </w:rPr>
        <w:t xml:space="preserve">. </w:t>
      </w:r>
    </w:p>
    <w:p w14:paraId="2F104C2F" w14:textId="77777777" w:rsidR="009B452D" w:rsidRPr="009B452D" w:rsidRDefault="009B452D" w:rsidP="009B452D">
      <w:pPr>
        <w:pStyle w:val="Lijstalinea"/>
        <w:rPr>
          <w:rFonts w:ascii="Arial" w:hAnsi="Arial" w:cs="Arial"/>
        </w:rPr>
      </w:pPr>
    </w:p>
    <w:p w14:paraId="483893CD" w14:textId="16F45743" w:rsidR="00D643F2" w:rsidRDefault="00A92B20" w:rsidP="00D643F2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4F3EF4">
        <w:rPr>
          <w:rFonts w:ascii="Arial" w:hAnsi="Arial" w:cs="Arial"/>
        </w:rPr>
        <w:t xml:space="preserve">Als de gedempte kostendekkende premie in </w:t>
      </w:r>
      <w:r w:rsidR="009B452D">
        <w:rPr>
          <w:rFonts w:ascii="Arial" w:hAnsi="Arial" w:cs="Arial"/>
        </w:rPr>
        <w:t>2023</w:t>
      </w:r>
      <w:r w:rsidR="00326DE8">
        <w:rPr>
          <w:rFonts w:ascii="Arial" w:hAnsi="Arial" w:cs="Arial"/>
        </w:rPr>
        <w:t>, 2024</w:t>
      </w:r>
      <w:r w:rsidR="009B452D">
        <w:rPr>
          <w:rFonts w:ascii="Arial" w:hAnsi="Arial" w:cs="Arial"/>
        </w:rPr>
        <w:t xml:space="preserve"> </w:t>
      </w:r>
      <w:r w:rsidR="0007655F">
        <w:rPr>
          <w:rFonts w:ascii="Arial" w:hAnsi="Arial" w:cs="Arial"/>
        </w:rPr>
        <w:t xml:space="preserve">of </w:t>
      </w:r>
      <w:r w:rsidR="00326DE8">
        <w:rPr>
          <w:rFonts w:ascii="Arial" w:hAnsi="Arial" w:cs="Arial"/>
        </w:rPr>
        <w:t xml:space="preserve">2025 </w:t>
      </w:r>
      <w:r w:rsidR="00156496" w:rsidRPr="004F3EF4">
        <w:rPr>
          <w:rFonts w:ascii="Arial" w:hAnsi="Arial" w:cs="Arial"/>
        </w:rPr>
        <w:t xml:space="preserve">onverhoopt </w:t>
      </w:r>
      <w:r w:rsidR="00E84DE5">
        <w:rPr>
          <w:rFonts w:ascii="Arial" w:hAnsi="Arial" w:cs="Arial"/>
        </w:rPr>
        <w:t xml:space="preserve">hoger </w:t>
      </w:r>
      <w:r w:rsidRPr="004F3EF4">
        <w:rPr>
          <w:rFonts w:ascii="Arial" w:hAnsi="Arial" w:cs="Arial"/>
        </w:rPr>
        <w:t>uitkomt dan 29,5%</w:t>
      </w:r>
      <w:r w:rsidR="008455A5" w:rsidRPr="004F3EF4">
        <w:rPr>
          <w:rFonts w:ascii="Arial" w:hAnsi="Arial" w:cs="Arial"/>
        </w:rPr>
        <w:t xml:space="preserve">, dan </w:t>
      </w:r>
      <w:r w:rsidRPr="004F3EF4">
        <w:rPr>
          <w:rFonts w:ascii="Arial" w:hAnsi="Arial" w:cs="Arial"/>
        </w:rPr>
        <w:t>wordt de</w:t>
      </w:r>
      <w:r w:rsidR="00156496" w:rsidRPr="004F3EF4">
        <w:rPr>
          <w:rFonts w:ascii="Arial" w:hAnsi="Arial" w:cs="Arial"/>
        </w:rPr>
        <w:t xml:space="preserve">ze (hogere) </w:t>
      </w:r>
      <w:r w:rsidRPr="004F3EF4">
        <w:rPr>
          <w:rFonts w:ascii="Arial" w:hAnsi="Arial" w:cs="Arial"/>
        </w:rPr>
        <w:t xml:space="preserve">gedempte kostendekkende premie zonder </w:t>
      </w:r>
      <w:r w:rsidR="00C27B60">
        <w:rPr>
          <w:rFonts w:ascii="Arial" w:hAnsi="Arial" w:cs="Arial"/>
        </w:rPr>
        <w:t xml:space="preserve">het extra premiebedrag </w:t>
      </w:r>
      <w:r w:rsidR="00AB2BB0">
        <w:rPr>
          <w:rFonts w:ascii="Arial" w:hAnsi="Arial" w:cs="Arial"/>
        </w:rPr>
        <w:t>betaald aan SPH</w:t>
      </w:r>
      <w:r w:rsidR="00D503C4" w:rsidRPr="004F3EF4">
        <w:rPr>
          <w:rFonts w:ascii="Arial" w:hAnsi="Arial" w:cs="Arial"/>
        </w:rPr>
        <w:t>.</w:t>
      </w:r>
    </w:p>
    <w:p w14:paraId="3D8B03BA" w14:textId="77777777" w:rsidR="00D643F2" w:rsidRPr="00D643F2" w:rsidRDefault="00D643F2" w:rsidP="00D643F2">
      <w:pPr>
        <w:pStyle w:val="Lijstalinea"/>
        <w:rPr>
          <w:rFonts w:ascii="Arial" w:hAnsi="Arial" w:cs="Arial"/>
        </w:rPr>
      </w:pPr>
    </w:p>
    <w:p w14:paraId="55E34A85" w14:textId="77777777" w:rsidR="00D643F2" w:rsidRDefault="00006E59" w:rsidP="00D643F2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D643F2">
        <w:rPr>
          <w:rFonts w:ascii="Arial" w:hAnsi="Arial" w:cs="Arial"/>
        </w:rPr>
        <w:t xml:space="preserve">Als het bestuur van het pensioenfonds </w:t>
      </w:r>
      <w:r w:rsidRPr="00D643F2">
        <w:rPr>
          <w:rFonts w:ascii="Arial" w:hAnsi="Arial" w:cs="Arial"/>
          <w:u w:val="single"/>
        </w:rPr>
        <w:t>geen besluit</w:t>
      </w:r>
      <w:r w:rsidRPr="00D643F2">
        <w:rPr>
          <w:rFonts w:ascii="Arial" w:hAnsi="Arial" w:cs="Arial"/>
        </w:rPr>
        <w:t xml:space="preserve"> neemt tot volledige indexatie over 2023 respectievelijk </w:t>
      </w:r>
      <w:r w:rsidR="006878A2" w:rsidRPr="00D643F2">
        <w:rPr>
          <w:rFonts w:ascii="Arial" w:hAnsi="Arial" w:cs="Arial"/>
        </w:rPr>
        <w:t xml:space="preserve">over </w:t>
      </w:r>
      <w:r w:rsidRPr="00D643F2">
        <w:rPr>
          <w:rFonts w:ascii="Arial" w:hAnsi="Arial" w:cs="Arial"/>
        </w:rPr>
        <w:t>2024 wordt het</w:t>
      </w:r>
      <w:r w:rsidR="002D01CA" w:rsidRPr="00D643F2">
        <w:rPr>
          <w:rFonts w:ascii="Arial" w:hAnsi="Arial" w:cs="Arial"/>
        </w:rPr>
        <w:t xml:space="preserve"> saldo van het</w:t>
      </w:r>
      <w:r w:rsidRPr="00D643F2">
        <w:rPr>
          <w:rFonts w:ascii="Arial" w:hAnsi="Arial" w:cs="Arial"/>
        </w:rPr>
        <w:t xml:space="preserve"> premie- en indexatiedepot aangewend voor extra indexatie van actieve deelnemers (tot maximaal het niveau van volledige indexatie). </w:t>
      </w:r>
    </w:p>
    <w:p w14:paraId="0BAEAA02" w14:textId="77777777" w:rsidR="00D643F2" w:rsidRPr="00D643F2" w:rsidRDefault="00D643F2" w:rsidP="00D643F2">
      <w:pPr>
        <w:pStyle w:val="Lijstalinea"/>
        <w:rPr>
          <w:rFonts w:ascii="Arial" w:hAnsi="Arial" w:cs="Arial"/>
        </w:rPr>
      </w:pPr>
    </w:p>
    <w:p w14:paraId="0C3A29E8" w14:textId="736D04F4" w:rsidR="00006E59" w:rsidRPr="00D643F2" w:rsidRDefault="00006E59" w:rsidP="00D643F2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D643F2">
        <w:rPr>
          <w:rFonts w:ascii="Arial" w:hAnsi="Arial" w:cs="Arial"/>
        </w:rPr>
        <w:t xml:space="preserve">Als het bestuur van SPH </w:t>
      </w:r>
      <w:r w:rsidRPr="00D643F2">
        <w:rPr>
          <w:rFonts w:ascii="Arial" w:hAnsi="Arial" w:cs="Arial"/>
          <w:u w:val="single"/>
        </w:rPr>
        <w:t>wel een besluit</w:t>
      </w:r>
      <w:r w:rsidRPr="00D643F2">
        <w:rPr>
          <w:rFonts w:ascii="Arial" w:hAnsi="Arial" w:cs="Arial"/>
        </w:rPr>
        <w:t xml:space="preserve"> neemt tot volledige indexatie over 2023 respectievelijk </w:t>
      </w:r>
      <w:r w:rsidR="006878A2" w:rsidRPr="00D643F2">
        <w:rPr>
          <w:rFonts w:ascii="Arial" w:hAnsi="Arial" w:cs="Arial"/>
        </w:rPr>
        <w:t xml:space="preserve">over </w:t>
      </w:r>
      <w:r w:rsidRPr="00D643F2">
        <w:rPr>
          <w:rFonts w:ascii="Arial" w:hAnsi="Arial" w:cs="Arial"/>
        </w:rPr>
        <w:t xml:space="preserve">2024, wordt het </w:t>
      </w:r>
      <w:r w:rsidR="002D01CA" w:rsidRPr="00D643F2">
        <w:rPr>
          <w:rFonts w:ascii="Arial" w:hAnsi="Arial" w:cs="Arial"/>
        </w:rPr>
        <w:t xml:space="preserve">saldo van het </w:t>
      </w:r>
      <w:r w:rsidRPr="00D643F2">
        <w:rPr>
          <w:rFonts w:ascii="Arial" w:hAnsi="Arial" w:cs="Arial"/>
        </w:rPr>
        <w:t>premie- en indexatiedepot aangewend voor de premie van 2024 respectievelijk 2025 (dat is de gedempte kostendekkende premie in 202</w:t>
      </w:r>
      <w:r w:rsidR="006878A2" w:rsidRPr="00D643F2">
        <w:rPr>
          <w:rFonts w:ascii="Arial" w:hAnsi="Arial" w:cs="Arial"/>
        </w:rPr>
        <w:t>4 respectievelijk in 2025</w:t>
      </w:r>
      <w:r w:rsidRPr="00D643F2">
        <w:rPr>
          <w:rFonts w:ascii="Arial" w:hAnsi="Arial" w:cs="Arial"/>
        </w:rPr>
        <w:t xml:space="preserve"> plus het verschil tot aan 29,5%, met een maximum van 1%</w:t>
      </w:r>
      <w:r w:rsidR="00AB2BB0">
        <w:rPr>
          <w:rFonts w:ascii="Arial" w:hAnsi="Arial" w:cs="Arial"/>
        </w:rPr>
        <w:t xml:space="preserve"> van de pensioengrondslag</w:t>
      </w:r>
      <w:r w:rsidRPr="00D643F2">
        <w:rPr>
          <w:rFonts w:ascii="Arial" w:hAnsi="Arial" w:cs="Arial"/>
        </w:rPr>
        <w:t>). Hiervan wordt het saldo uit het premie- en indexatiedepot afgetrokken.</w:t>
      </w:r>
    </w:p>
    <w:p w14:paraId="2D02E1C7" w14:textId="77777777" w:rsidR="006878A2" w:rsidRPr="00D643F2" w:rsidRDefault="006878A2" w:rsidP="00D643F2">
      <w:pPr>
        <w:pStyle w:val="Lijstalinea"/>
        <w:rPr>
          <w:rFonts w:ascii="Arial" w:hAnsi="Arial" w:cs="Arial"/>
        </w:rPr>
      </w:pPr>
    </w:p>
    <w:p w14:paraId="006892C6" w14:textId="177946AE" w:rsidR="00D32EF7" w:rsidRDefault="00A92B20" w:rsidP="00D32EF7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6878A2">
        <w:rPr>
          <w:rFonts w:ascii="Arial" w:hAnsi="Arial" w:cs="Arial"/>
        </w:rPr>
        <w:t xml:space="preserve">Het gebruik van het indexatiedeel van het </w:t>
      </w:r>
      <w:r w:rsidR="008455A5" w:rsidRPr="006878A2">
        <w:rPr>
          <w:rFonts w:ascii="Arial" w:hAnsi="Arial" w:cs="Arial"/>
        </w:rPr>
        <w:t>premie- en indexatie</w:t>
      </w:r>
      <w:r w:rsidRPr="006878A2">
        <w:rPr>
          <w:rFonts w:ascii="Arial" w:hAnsi="Arial" w:cs="Arial"/>
        </w:rPr>
        <w:t>depot beperkt zich tot de jaren</w:t>
      </w:r>
      <w:r w:rsidR="008455A5" w:rsidRPr="006878A2">
        <w:rPr>
          <w:rFonts w:ascii="Arial" w:hAnsi="Arial" w:cs="Arial"/>
        </w:rPr>
        <w:t xml:space="preserve"> </w:t>
      </w:r>
      <w:r w:rsidR="00442F66">
        <w:rPr>
          <w:rFonts w:ascii="Arial" w:hAnsi="Arial" w:cs="Arial"/>
        </w:rPr>
        <w:t>2022, 2023 en 2024</w:t>
      </w:r>
      <w:r w:rsidRPr="006878A2">
        <w:rPr>
          <w:rFonts w:ascii="Arial" w:hAnsi="Arial" w:cs="Arial"/>
        </w:rPr>
        <w:t xml:space="preserve">, omdat de </w:t>
      </w:r>
      <w:r w:rsidR="008455A5" w:rsidRPr="006878A2">
        <w:rPr>
          <w:rFonts w:ascii="Arial" w:hAnsi="Arial" w:cs="Arial"/>
        </w:rPr>
        <w:t xml:space="preserve">wettelijke </w:t>
      </w:r>
      <w:r w:rsidRPr="006878A2">
        <w:rPr>
          <w:rFonts w:ascii="Arial" w:hAnsi="Arial" w:cs="Arial"/>
        </w:rPr>
        <w:t>10-jaarsperiode van ruimte voor extra opbouw (bovenop de fiscaal maximale opbouw van 1,875% middelloon</w:t>
      </w:r>
      <w:r w:rsidR="008455A5" w:rsidRPr="006878A2">
        <w:rPr>
          <w:rFonts w:ascii="Arial" w:hAnsi="Arial" w:cs="Arial"/>
        </w:rPr>
        <w:t xml:space="preserve">) </w:t>
      </w:r>
      <w:r w:rsidR="007F4277" w:rsidRPr="006878A2">
        <w:rPr>
          <w:rFonts w:ascii="Arial" w:hAnsi="Arial" w:cs="Arial"/>
        </w:rPr>
        <w:t xml:space="preserve">op 31 december 2024 </w:t>
      </w:r>
      <w:r w:rsidRPr="006878A2">
        <w:rPr>
          <w:rFonts w:ascii="Arial" w:hAnsi="Arial" w:cs="Arial"/>
        </w:rPr>
        <w:t>eindigt.</w:t>
      </w:r>
    </w:p>
    <w:p w14:paraId="63FC4FF3" w14:textId="7E6402A9" w:rsidR="00D503C4" w:rsidRPr="006878A2" w:rsidRDefault="00073690" w:rsidP="00D643F2">
      <w:pPr>
        <w:pStyle w:val="Lijstalinea"/>
        <w:spacing w:after="0" w:line="280" w:lineRule="exact"/>
        <w:ind w:left="567" w:right="23"/>
        <w:rPr>
          <w:rFonts w:ascii="Arial" w:hAnsi="Arial" w:cs="Arial"/>
        </w:rPr>
      </w:pPr>
      <w:r w:rsidRPr="006878A2">
        <w:rPr>
          <w:rFonts w:ascii="Arial" w:hAnsi="Arial" w:cs="Arial"/>
        </w:rPr>
        <w:t xml:space="preserve"> </w:t>
      </w:r>
    </w:p>
    <w:p w14:paraId="0304566D" w14:textId="1B54DD14" w:rsidR="00FF7814" w:rsidRPr="00D32EF7" w:rsidRDefault="00D503C4" w:rsidP="00D643F2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D32EF7">
        <w:rPr>
          <w:rFonts w:ascii="Arial" w:hAnsi="Arial" w:cs="Arial"/>
        </w:rPr>
        <w:t xml:space="preserve">Partijen </w:t>
      </w:r>
      <w:r w:rsidR="00B76341" w:rsidRPr="00D32EF7">
        <w:rPr>
          <w:rFonts w:ascii="Arial" w:hAnsi="Arial" w:cs="Arial"/>
        </w:rPr>
        <w:t>zullen</w:t>
      </w:r>
      <w:r w:rsidR="00645B19" w:rsidRPr="00D32EF7">
        <w:rPr>
          <w:rFonts w:ascii="Arial" w:hAnsi="Arial" w:cs="Arial"/>
        </w:rPr>
        <w:t xml:space="preserve"> in</w:t>
      </w:r>
      <w:r w:rsidR="00B76341" w:rsidRPr="00D32EF7">
        <w:rPr>
          <w:rFonts w:ascii="Arial" w:hAnsi="Arial" w:cs="Arial"/>
        </w:rPr>
        <w:t xml:space="preserve"> </w:t>
      </w:r>
      <w:r w:rsidR="00A92B20" w:rsidRPr="00D32EF7">
        <w:rPr>
          <w:rFonts w:ascii="Arial" w:hAnsi="Arial" w:cs="Arial"/>
        </w:rPr>
        <w:t xml:space="preserve">2024 </w:t>
      </w:r>
      <w:r w:rsidR="008455A5" w:rsidRPr="00D32EF7">
        <w:rPr>
          <w:rFonts w:ascii="Arial" w:hAnsi="Arial" w:cs="Arial"/>
        </w:rPr>
        <w:t xml:space="preserve">met elkaar </w:t>
      </w:r>
      <w:r w:rsidR="00B76341" w:rsidRPr="00D32EF7">
        <w:rPr>
          <w:rFonts w:ascii="Arial" w:hAnsi="Arial" w:cs="Arial"/>
        </w:rPr>
        <w:t xml:space="preserve">bespreken of in </w:t>
      </w:r>
      <w:r w:rsidR="00B76341" w:rsidRPr="00D32EF7">
        <w:rPr>
          <w:rFonts w:ascii="Arial" w:hAnsi="Arial" w:cs="Arial"/>
          <w:b/>
          <w:bCs/>
        </w:rPr>
        <w:t>2025</w:t>
      </w:r>
      <w:r w:rsidR="00B76341" w:rsidRPr="00D32EF7">
        <w:rPr>
          <w:rFonts w:ascii="Arial" w:hAnsi="Arial" w:cs="Arial"/>
        </w:rPr>
        <w:t xml:space="preserve"> opnieuw een extra premiebedrag wordt afgesproken ter hoogte van het </w:t>
      </w:r>
      <w:r w:rsidR="002F0515" w:rsidRPr="00D32EF7">
        <w:rPr>
          <w:rFonts w:ascii="Arial" w:hAnsi="Arial" w:cs="Arial"/>
        </w:rPr>
        <w:t xml:space="preserve">verschil tussen </w:t>
      </w:r>
      <w:r w:rsidR="00A92B20" w:rsidRPr="00D32EF7">
        <w:rPr>
          <w:rFonts w:ascii="Arial" w:hAnsi="Arial" w:cs="Arial"/>
        </w:rPr>
        <w:t xml:space="preserve">29,5% </w:t>
      </w:r>
      <w:r w:rsidR="002F0515" w:rsidRPr="00D32EF7">
        <w:rPr>
          <w:rFonts w:ascii="Arial" w:hAnsi="Arial" w:cs="Arial"/>
        </w:rPr>
        <w:t xml:space="preserve">en de </w:t>
      </w:r>
      <w:r w:rsidR="00A92B20" w:rsidRPr="00D32EF7">
        <w:rPr>
          <w:rFonts w:ascii="Arial" w:hAnsi="Arial" w:cs="Arial"/>
        </w:rPr>
        <w:t>gedempte kostendekkende premie</w:t>
      </w:r>
      <w:r w:rsidR="00B76341" w:rsidRPr="00D32EF7">
        <w:rPr>
          <w:rFonts w:ascii="Arial" w:hAnsi="Arial" w:cs="Arial"/>
        </w:rPr>
        <w:t>, met een maximum van 1%</w:t>
      </w:r>
      <w:r w:rsidR="00AB2BB0">
        <w:rPr>
          <w:rFonts w:ascii="Arial" w:hAnsi="Arial" w:cs="Arial"/>
        </w:rPr>
        <w:t xml:space="preserve"> van de pensioengrondslag</w:t>
      </w:r>
      <w:r w:rsidR="00A92B20" w:rsidRPr="00D32EF7">
        <w:rPr>
          <w:rFonts w:ascii="Arial" w:hAnsi="Arial" w:cs="Arial"/>
        </w:rPr>
        <w:t xml:space="preserve">. </w:t>
      </w:r>
      <w:r w:rsidR="00D32EF7" w:rsidRPr="00D32EF7">
        <w:rPr>
          <w:rFonts w:ascii="Arial" w:hAnsi="Arial" w:cs="Arial"/>
        </w:rPr>
        <w:t>De reden daarvoor is dat in de loop van 2024 meer bekend is over de Wet Toekomst Pensioenen en de te hanteren rekenregel</w:t>
      </w:r>
      <w:r w:rsidR="00442F66">
        <w:rPr>
          <w:rFonts w:ascii="Arial" w:hAnsi="Arial" w:cs="Arial"/>
        </w:rPr>
        <w:t>s</w:t>
      </w:r>
      <w:r w:rsidR="00F03210">
        <w:rPr>
          <w:rFonts w:ascii="Arial" w:hAnsi="Arial" w:cs="Arial"/>
        </w:rPr>
        <w:t xml:space="preserve"> vanaf 2026</w:t>
      </w:r>
      <w:r w:rsidR="00D32EF7" w:rsidRPr="00D32EF7">
        <w:rPr>
          <w:rFonts w:ascii="Arial" w:hAnsi="Arial" w:cs="Arial"/>
        </w:rPr>
        <w:t xml:space="preserve">. </w:t>
      </w:r>
      <w:r w:rsidR="00FF7814" w:rsidRPr="00D32EF7">
        <w:rPr>
          <w:rFonts w:ascii="Arial" w:hAnsi="Arial" w:cs="Arial"/>
        </w:rPr>
        <w:t xml:space="preserve">Het saldo </w:t>
      </w:r>
      <w:r w:rsidR="00CF66BA" w:rsidRPr="00D32EF7">
        <w:rPr>
          <w:rFonts w:ascii="Arial" w:hAnsi="Arial" w:cs="Arial"/>
        </w:rPr>
        <w:t xml:space="preserve">eind 2025 </w:t>
      </w:r>
      <w:r w:rsidR="00FF7814" w:rsidRPr="00D32EF7">
        <w:rPr>
          <w:rFonts w:ascii="Arial" w:hAnsi="Arial" w:cs="Arial"/>
        </w:rPr>
        <w:t>van het premiedepot</w:t>
      </w:r>
      <w:r w:rsidR="002118E6" w:rsidRPr="00D32EF7">
        <w:rPr>
          <w:rFonts w:ascii="Arial" w:hAnsi="Arial" w:cs="Arial"/>
        </w:rPr>
        <w:t xml:space="preserve"> zal in mindering worden gebracht </w:t>
      </w:r>
      <w:r w:rsidR="001B4226" w:rsidRPr="00D32EF7">
        <w:rPr>
          <w:rFonts w:ascii="Arial" w:hAnsi="Arial" w:cs="Arial"/>
        </w:rPr>
        <w:t xml:space="preserve">op de door Partijen af te spreken pensioenpremie in 2026. </w:t>
      </w:r>
    </w:p>
    <w:p w14:paraId="62CB00DD" w14:textId="77777777" w:rsidR="001B4226" w:rsidRPr="00A92B20" w:rsidRDefault="001B4226" w:rsidP="00A92B20">
      <w:pPr>
        <w:spacing w:after="0" w:line="280" w:lineRule="exact"/>
        <w:rPr>
          <w:rFonts w:ascii="Arial" w:hAnsi="Arial" w:cs="Arial"/>
        </w:rPr>
      </w:pPr>
    </w:p>
    <w:p w14:paraId="4131A35F" w14:textId="77777777" w:rsidR="00D503C4" w:rsidRDefault="00B35506" w:rsidP="00D503C4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A92B20">
        <w:rPr>
          <w:rFonts w:ascii="Arial" w:hAnsi="Arial" w:cs="Arial"/>
        </w:rPr>
        <w:t>Ind</w:t>
      </w:r>
      <w:r w:rsidR="008360BC" w:rsidRPr="00A92B20">
        <w:rPr>
          <w:rFonts w:ascii="Arial" w:hAnsi="Arial" w:cs="Arial"/>
        </w:rPr>
        <w:t>ien de wetgeving verandert dan wel het pensioenfonds een aanwijzing van De Nederlandsche Bank ontvangt die de hiervoor genoemde afspraken doorkruist</w:t>
      </w:r>
      <w:r w:rsidR="006B770F" w:rsidRPr="00A92B20">
        <w:rPr>
          <w:rFonts w:ascii="Arial" w:hAnsi="Arial" w:cs="Arial"/>
        </w:rPr>
        <w:t>,</w:t>
      </w:r>
      <w:r w:rsidR="008360BC" w:rsidRPr="00A92B20">
        <w:rPr>
          <w:rFonts w:ascii="Arial" w:hAnsi="Arial" w:cs="Arial"/>
        </w:rPr>
        <w:t xml:space="preserve"> treedt het pensioenfonds hierover zo spoedig mogelijk in overleg met Tata Steel. Tata Steel zal vervolgens in overleg treden met de </w:t>
      </w:r>
      <w:r w:rsidR="00E73554" w:rsidRPr="00A92B20">
        <w:rPr>
          <w:rFonts w:ascii="Arial" w:hAnsi="Arial" w:cs="Arial"/>
        </w:rPr>
        <w:t>Vakverenigingen</w:t>
      </w:r>
      <w:r w:rsidR="008360BC" w:rsidRPr="00A92B20">
        <w:rPr>
          <w:rFonts w:ascii="Arial" w:hAnsi="Arial" w:cs="Arial"/>
        </w:rPr>
        <w:t xml:space="preserve"> over een passende oplossing.</w:t>
      </w:r>
    </w:p>
    <w:p w14:paraId="28553933" w14:textId="77777777" w:rsidR="00D503C4" w:rsidRPr="00D503C4" w:rsidRDefault="00D503C4" w:rsidP="00D503C4">
      <w:pPr>
        <w:pStyle w:val="Lijstalinea"/>
        <w:rPr>
          <w:rFonts w:ascii="Arial" w:hAnsi="Arial" w:cs="Arial"/>
        </w:rPr>
      </w:pPr>
    </w:p>
    <w:p w14:paraId="30FA16E4" w14:textId="77777777" w:rsidR="00D503C4" w:rsidRDefault="00E26662" w:rsidP="00D503C4">
      <w:pPr>
        <w:pStyle w:val="Lijstalinea"/>
        <w:numPr>
          <w:ilvl w:val="0"/>
          <w:numId w:val="6"/>
        </w:numPr>
        <w:spacing w:after="0" w:line="280" w:lineRule="exact"/>
        <w:ind w:left="567" w:right="23" w:hanging="567"/>
        <w:rPr>
          <w:rFonts w:ascii="Arial" w:hAnsi="Arial" w:cs="Arial"/>
        </w:rPr>
      </w:pPr>
      <w:r w:rsidRPr="00D503C4">
        <w:rPr>
          <w:rFonts w:ascii="Arial" w:hAnsi="Arial" w:cs="Arial"/>
        </w:rPr>
        <w:t xml:space="preserve">Na afloop </w:t>
      </w:r>
      <w:r w:rsidR="00B35506" w:rsidRPr="00D503C4">
        <w:rPr>
          <w:rFonts w:ascii="Arial" w:hAnsi="Arial" w:cs="Arial"/>
        </w:rPr>
        <w:t xml:space="preserve">van de looptijd </w:t>
      </w:r>
      <w:r w:rsidRPr="00D503C4">
        <w:rPr>
          <w:rFonts w:ascii="Arial" w:hAnsi="Arial" w:cs="Arial"/>
        </w:rPr>
        <w:t xml:space="preserve">van dit protocol eindigen de tussen </w:t>
      </w:r>
      <w:r w:rsidR="00E73554" w:rsidRPr="00D503C4">
        <w:rPr>
          <w:rFonts w:ascii="Arial" w:hAnsi="Arial" w:cs="Arial"/>
        </w:rPr>
        <w:t>Partijen</w:t>
      </w:r>
      <w:r w:rsidRPr="00D503C4">
        <w:rPr>
          <w:rFonts w:ascii="Arial" w:hAnsi="Arial" w:cs="Arial"/>
        </w:rPr>
        <w:t xml:space="preserve"> in dit protocol gemaakte pensioenafspraken van rechtswege. </w:t>
      </w:r>
    </w:p>
    <w:p w14:paraId="6B01457B" w14:textId="77777777" w:rsidR="008360BC" w:rsidRPr="00A92B20" w:rsidRDefault="008360BC" w:rsidP="00A92B20">
      <w:pPr>
        <w:spacing w:after="0" w:line="280" w:lineRule="exact"/>
        <w:ind w:left="43" w:right="259"/>
        <w:rPr>
          <w:rFonts w:ascii="Arial" w:hAnsi="Arial" w:cs="Arial"/>
        </w:rPr>
      </w:pPr>
    </w:p>
    <w:p w14:paraId="2AD37745" w14:textId="43191C64" w:rsidR="00C87D30" w:rsidRPr="00A92B20" w:rsidRDefault="001428B5" w:rsidP="00A92B20">
      <w:pPr>
        <w:spacing w:after="0" w:line="280" w:lineRule="exact"/>
        <w:ind w:left="43" w:right="259"/>
        <w:rPr>
          <w:rFonts w:ascii="Arial" w:hAnsi="Arial" w:cs="Arial"/>
        </w:rPr>
      </w:pPr>
      <w:r w:rsidRPr="00A92B20">
        <w:rPr>
          <w:rFonts w:ascii="Arial" w:hAnsi="Arial" w:cs="Arial"/>
        </w:rPr>
        <w:t xml:space="preserve">Tata Steel en </w:t>
      </w:r>
      <w:r w:rsidR="00E73554" w:rsidRPr="00A92B20">
        <w:rPr>
          <w:rFonts w:ascii="Arial" w:hAnsi="Arial" w:cs="Arial"/>
        </w:rPr>
        <w:t>Vakverenigingen</w:t>
      </w:r>
      <w:r w:rsidRPr="00A92B20">
        <w:rPr>
          <w:rFonts w:ascii="Arial" w:hAnsi="Arial" w:cs="Arial"/>
        </w:rPr>
        <w:t xml:space="preserve"> zullen medio 20</w:t>
      </w:r>
      <w:r w:rsidR="00F208BA" w:rsidRPr="00A92B20">
        <w:rPr>
          <w:rFonts w:ascii="Arial" w:hAnsi="Arial" w:cs="Arial"/>
        </w:rPr>
        <w:t>2</w:t>
      </w:r>
      <w:r w:rsidR="00D503C4">
        <w:rPr>
          <w:rFonts w:ascii="Arial" w:hAnsi="Arial" w:cs="Arial"/>
        </w:rPr>
        <w:t>5</w:t>
      </w:r>
      <w:r w:rsidRPr="00A92B20">
        <w:rPr>
          <w:rFonts w:ascii="Arial" w:hAnsi="Arial" w:cs="Arial"/>
        </w:rPr>
        <w:t xml:space="preserve"> met elkaar in overleg treden over de periode na </w:t>
      </w:r>
      <w:r w:rsidR="00352B09" w:rsidRPr="00A92B20">
        <w:rPr>
          <w:rFonts w:ascii="Arial" w:hAnsi="Arial" w:cs="Arial"/>
        </w:rPr>
        <w:t>3</w:t>
      </w:r>
      <w:r w:rsidRPr="00A92B20">
        <w:rPr>
          <w:rFonts w:ascii="Arial" w:hAnsi="Arial" w:cs="Arial"/>
        </w:rPr>
        <w:t xml:space="preserve">1 </w:t>
      </w:r>
      <w:r w:rsidR="00F208BA" w:rsidRPr="00A92B20">
        <w:rPr>
          <w:rFonts w:ascii="Arial" w:hAnsi="Arial" w:cs="Arial"/>
        </w:rPr>
        <w:t>december 202</w:t>
      </w:r>
      <w:r w:rsidR="00D503C4">
        <w:rPr>
          <w:rFonts w:ascii="Arial" w:hAnsi="Arial" w:cs="Arial"/>
        </w:rPr>
        <w:t>5</w:t>
      </w:r>
      <w:r w:rsidRPr="00A92B20">
        <w:rPr>
          <w:rFonts w:ascii="Arial" w:hAnsi="Arial" w:cs="Arial"/>
        </w:rPr>
        <w:t>.</w:t>
      </w:r>
    </w:p>
    <w:sectPr w:rsidR="00C87D30" w:rsidRPr="00A92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2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C05F" w14:textId="77777777" w:rsidR="00113E9E" w:rsidRDefault="00113E9E">
      <w:pPr>
        <w:spacing w:after="0"/>
      </w:pPr>
      <w:r>
        <w:separator/>
      </w:r>
    </w:p>
  </w:endnote>
  <w:endnote w:type="continuationSeparator" w:id="0">
    <w:p w14:paraId="61E8C616" w14:textId="77777777" w:rsidR="00113E9E" w:rsidRDefault="00113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68E4" w14:textId="77777777" w:rsidR="00C87D30" w:rsidRDefault="00C87D30">
    <w:pPr>
      <w:spacing w:after="16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5BF6" w14:textId="503F587F" w:rsidR="00C67313" w:rsidRDefault="006B770F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932D2A2" wp14:editId="14123E5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9040" cy="266700"/>
              <wp:effectExtent l="0" t="0" r="0" b="0"/>
              <wp:wrapNone/>
              <wp:docPr id="1" name="MSIPCM292f49bd9eaa24762df4464c" descr="{&quot;HashCode&quot;:9392177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967A3" w14:textId="7F64B44B" w:rsidR="006B770F" w:rsidRPr="006B770F" w:rsidRDefault="006B770F" w:rsidP="006B770F">
                          <w:pPr>
                            <w:spacing w:after="0"/>
                            <w:ind w:right="0"/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2D2A2" id="_x0000_t202" coordsize="21600,21600" o:spt="202" path="m,l,21600r21600,l21600,xe">
              <v:stroke joinstyle="miter"/>
              <v:path gradientshapeok="t" o:connecttype="rect"/>
            </v:shapetype>
            <v:shape id="MSIPCM292f49bd9eaa24762df4464c" o:spid="_x0000_s1026" type="#_x0000_t202" alt="{&quot;HashCode&quot;:939217792,&quot;Height&quot;:841.0,&quot;Width&quot;:595.0,&quot;Placement&quot;:&quot;Footer&quot;,&quot;Index&quot;:&quot;Primary&quot;,&quot;Section&quot;:1,&quot;Top&quot;:0.0,&quot;Left&quot;:0.0}" style="position:absolute;left:0;text-align:left;margin-left:0;margin-top:805.45pt;width:595.2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" o:allowincell="f" filled="f" stroked="f" strokeweight=".5pt">
              <v:textbox inset="20pt,0,,0">
                <w:txbxContent>
                  <w:p w14:paraId="5B3967A3" w14:textId="7F64B44B" w:rsidR="006B770F" w:rsidRPr="006B770F" w:rsidRDefault="006B770F" w:rsidP="006B770F">
                    <w:pPr>
                      <w:spacing w:after="0"/>
                      <w:ind w:right="0"/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83873449"/>
        <w:docPartObj>
          <w:docPartGallery w:val="Page Numbers (Bottom of Page)"/>
          <w:docPartUnique/>
        </w:docPartObj>
      </w:sdtPr>
      <w:sdtEndPr/>
      <w:sdtContent>
        <w:r w:rsidR="00C67313">
          <w:fldChar w:fldCharType="begin"/>
        </w:r>
        <w:r w:rsidR="00C67313">
          <w:instrText>PAGE   \* MERGEFORMAT</w:instrText>
        </w:r>
        <w:r w:rsidR="00C67313">
          <w:fldChar w:fldCharType="separate"/>
        </w:r>
        <w:r w:rsidR="00C86A53">
          <w:rPr>
            <w:noProof/>
          </w:rPr>
          <w:t>1</w:t>
        </w:r>
        <w:r w:rsidR="00C67313">
          <w:fldChar w:fldCharType="end"/>
        </w:r>
      </w:sdtContent>
    </w:sdt>
  </w:p>
  <w:p w14:paraId="1164D32C" w14:textId="3D2A420F" w:rsidR="00C67313" w:rsidRDefault="00C86A53" w:rsidP="00C67313">
    <w:pPr>
      <w:spacing w:after="0" w:line="240" w:lineRule="exact"/>
      <w:ind w:right="0"/>
      <w:jc w:val="left"/>
      <w:rPr>
        <w:sz w:val="16"/>
        <w:szCs w:val="16"/>
      </w:rPr>
    </w:pPr>
    <w:r>
      <w:rPr>
        <w:sz w:val="16"/>
        <w:szCs w:val="16"/>
      </w:rPr>
      <w:t>Kenmerk: M</w:t>
    </w:r>
    <w:r w:rsidR="00EA3DEC">
      <w:rPr>
        <w:sz w:val="16"/>
        <w:szCs w:val="16"/>
      </w:rPr>
      <w:t>2</w:t>
    </w:r>
    <w:r w:rsidR="005908F2">
      <w:rPr>
        <w:sz w:val="16"/>
        <w:szCs w:val="16"/>
      </w:rPr>
      <w:t>142,jh</w:t>
    </w:r>
  </w:p>
  <w:p w14:paraId="6405FA8D" w14:textId="36AB2728" w:rsidR="00C86A53" w:rsidRDefault="00C86A53" w:rsidP="00C67313">
    <w:pPr>
      <w:spacing w:after="0" w:line="240" w:lineRule="exact"/>
      <w:ind w:right="0"/>
      <w:jc w:val="left"/>
      <w:rPr>
        <w:sz w:val="16"/>
        <w:szCs w:val="16"/>
      </w:rPr>
    </w:pPr>
    <w:r>
      <w:rPr>
        <w:sz w:val="16"/>
        <w:szCs w:val="16"/>
      </w:rPr>
      <w:t xml:space="preserve">Status: </w:t>
    </w:r>
    <w:r w:rsidR="005908F2">
      <w:rPr>
        <w:sz w:val="16"/>
        <w:szCs w:val="16"/>
      </w:rPr>
      <w:t>CONCEPT</w:t>
    </w:r>
    <w:r w:rsidR="00D643F2">
      <w:rPr>
        <w:sz w:val="16"/>
        <w:szCs w:val="16"/>
      </w:rPr>
      <w:t xml:space="preserve"> - 1.</w:t>
    </w:r>
    <w:r w:rsidR="00C53C82">
      <w:rPr>
        <w:sz w:val="16"/>
        <w:szCs w:val="16"/>
      </w:rPr>
      <w:t>2</w:t>
    </w:r>
    <w:r w:rsidR="00C27B60">
      <w:rPr>
        <w:sz w:val="16"/>
        <w:szCs w:val="16"/>
      </w:rPr>
      <w:t>.</w:t>
    </w:r>
  </w:p>
  <w:p w14:paraId="5469DC92" w14:textId="2AE46B55" w:rsidR="00C86A53" w:rsidRPr="00C67313" w:rsidRDefault="00C86A53" w:rsidP="00C67313">
    <w:pPr>
      <w:spacing w:after="0" w:line="240" w:lineRule="exact"/>
      <w:ind w:right="0"/>
      <w:jc w:val="left"/>
      <w:rPr>
        <w:sz w:val="16"/>
        <w:szCs w:val="16"/>
      </w:rPr>
    </w:pPr>
    <w:r>
      <w:rPr>
        <w:sz w:val="16"/>
        <w:szCs w:val="16"/>
      </w:rPr>
      <w:t xml:space="preserve">Datum: </w:t>
    </w:r>
    <w:r w:rsidR="00C53C82">
      <w:rPr>
        <w:sz w:val="16"/>
        <w:szCs w:val="16"/>
      </w:rPr>
      <w:t>25 januari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4E25" w14:textId="77777777" w:rsidR="00C87D30" w:rsidRDefault="00C87D30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4615" w14:textId="77777777" w:rsidR="00113E9E" w:rsidRDefault="00113E9E">
      <w:pPr>
        <w:spacing w:after="0"/>
      </w:pPr>
      <w:r>
        <w:separator/>
      </w:r>
    </w:p>
  </w:footnote>
  <w:footnote w:type="continuationSeparator" w:id="0">
    <w:p w14:paraId="6FFA2E78" w14:textId="77777777" w:rsidR="00113E9E" w:rsidRDefault="00113E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B29F" w14:textId="63AA7F69" w:rsidR="005908F2" w:rsidRDefault="00BF5A01">
    <w:pPr>
      <w:pStyle w:val="Koptekst"/>
    </w:pPr>
    <w:r>
      <w:rPr>
        <w:noProof/>
      </w:rPr>
      <w:pict w14:anchorId="1A9F1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891" o:spid="_x0000_s2050" type="#_x0000_t136" style="position:absolute;left:0;text-align:left;margin-left:0;margin-top:0;width:445.3pt;height:190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4F2A" w14:textId="47B2BEE7" w:rsidR="005908F2" w:rsidRDefault="00BF5A01">
    <w:pPr>
      <w:pStyle w:val="Koptekst"/>
    </w:pPr>
    <w:r>
      <w:rPr>
        <w:noProof/>
      </w:rPr>
      <w:pict w14:anchorId="68029F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892" o:spid="_x0000_s2051" type="#_x0000_t136" style="position:absolute;left:0;text-align:left;margin-left:0;margin-top:0;width:445.3pt;height:190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A535" w14:textId="00A7784C" w:rsidR="005908F2" w:rsidRDefault="00BF5A01">
    <w:pPr>
      <w:pStyle w:val="Koptekst"/>
    </w:pPr>
    <w:r>
      <w:rPr>
        <w:noProof/>
      </w:rPr>
      <w:pict w14:anchorId="7FF1F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890" o:spid="_x0000_s2049" type="#_x0000_t136" style="position:absolute;left:0;text-align:left;margin-left:0;margin-top:0;width:445.3pt;height:190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934"/>
    <w:multiLevelType w:val="hybridMultilevel"/>
    <w:tmpl w:val="2B6087B2"/>
    <w:lvl w:ilvl="0" w:tplc="21E6E4D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CCCCE">
      <w:start w:val="1"/>
      <w:numFmt w:val="bullet"/>
      <w:lvlText w:val="•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0C7DC2">
      <w:start w:val="1"/>
      <w:numFmt w:val="bullet"/>
      <w:lvlText w:val="▪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82C4E4">
      <w:start w:val="1"/>
      <w:numFmt w:val="bullet"/>
      <w:lvlText w:val="•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408C9E">
      <w:start w:val="1"/>
      <w:numFmt w:val="bullet"/>
      <w:lvlText w:val="o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DE357A">
      <w:start w:val="1"/>
      <w:numFmt w:val="bullet"/>
      <w:lvlText w:val="▪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8A69AC">
      <w:start w:val="1"/>
      <w:numFmt w:val="bullet"/>
      <w:lvlText w:val="•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B23C2E">
      <w:start w:val="1"/>
      <w:numFmt w:val="bullet"/>
      <w:lvlText w:val="o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36E478">
      <w:start w:val="1"/>
      <w:numFmt w:val="bullet"/>
      <w:lvlText w:val="▪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E0881"/>
    <w:multiLevelType w:val="hybridMultilevel"/>
    <w:tmpl w:val="A4E6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1F5B"/>
    <w:multiLevelType w:val="hybridMultilevel"/>
    <w:tmpl w:val="45DA4E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2470"/>
    <w:multiLevelType w:val="hybridMultilevel"/>
    <w:tmpl w:val="4F061E16"/>
    <w:lvl w:ilvl="0" w:tplc="0413000F">
      <w:start w:val="1"/>
      <w:numFmt w:val="decimal"/>
      <w:lvlText w:val="%1."/>
      <w:lvlJc w:val="left"/>
      <w:pPr>
        <w:ind w:left="763" w:hanging="360"/>
      </w:pPr>
    </w:lvl>
    <w:lvl w:ilvl="1" w:tplc="04130019" w:tentative="1">
      <w:start w:val="1"/>
      <w:numFmt w:val="lowerLetter"/>
      <w:lvlText w:val="%2."/>
      <w:lvlJc w:val="left"/>
      <w:pPr>
        <w:ind w:left="1483" w:hanging="360"/>
      </w:pPr>
    </w:lvl>
    <w:lvl w:ilvl="2" w:tplc="0413001B" w:tentative="1">
      <w:start w:val="1"/>
      <w:numFmt w:val="lowerRoman"/>
      <w:lvlText w:val="%3."/>
      <w:lvlJc w:val="right"/>
      <w:pPr>
        <w:ind w:left="2203" w:hanging="180"/>
      </w:pPr>
    </w:lvl>
    <w:lvl w:ilvl="3" w:tplc="0413000F" w:tentative="1">
      <w:start w:val="1"/>
      <w:numFmt w:val="decimal"/>
      <w:lvlText w:val="%4."/>
      <w:lvlJc w:val="left"/>
      <w:pPr>
        <w:ind w:left="2923" w:hanging="360"/>
      </w:pPr>
    </w:lvl>
    <w:lvl w:ilvl="4" w:tplc="04130019" w:tentative="1">
      <w:start w:val="1"/>
      <w:numFmt w:val="lowerLetter"/>
      <w:lvlText w:val="%5."/>
      <w:lvlJc w:val="left"/>
      <w:pPr>
        <w:ind w:left="3643" w:hanging="360"/>
      </w:pPr>
    </w:lvl>
    <w:lvl w:ilvl="5" w:tplc="0413001B" w:tentative="1">
      <w:start w:val="1"/>
      <w:numFmt w:val="lowerRoman"/>
      <w:lvlText w:val="%6."/>
      <w:lvlJc w:val="right"/>
      <w:pPr>
        <w:ind w:left="4363" w:hanging="180"/>
      </w:pPr>
    </w:lvl>
    <w:lvl w:ilvl="6" w:tplc="0413000F" w:tentative="1">
      <w:start w:val="1"/>
      <w:numFmt w:val="decimal"/>
      <w:lvlText w:val="%7."/>
      <w:lvlJc w:val="left"/>
      <w:pPr>
        <w:ind w:left="5083" w:hanging="360"/>
      </w:pPr>
    </w:lvl>
    <w:lvl w:ilvl="7" w:tplc="04130019" w:tentative="1">
      <w:start w:val="1"/>
      <w:numFmt w:val="lowerLetter"/>
      <w:lvlText w:val="%8."/>
      <w:lvlJc w:val="left"/>
      <w:pPr>
        <w:ind w:left="5803" w:hanging="360"/>
      </w:pPr>
    </w:lvl>
    <w:lvl w:ilvl="8" w:tplc="0413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53B665A"/>
    <w:multiLevelType w:val="hybridMultilevel"/>
    <w:tmpl w:val="96EA2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C33"/>
    <w:multiLevelType w:val="hybridMultilevel"/>
    <w:tmpl w:val="2602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F6700"/>
    <w:multiLevelType w:val="hybridMultilevel"/>
    <w:tmpl w:val="933CDB96"/>
    <w:lvl w:ilvl="0" w:tplc="74BCD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08B3"/>
    <w:multiLevelType w:val="hybridMultilevel"/>
    <w:tmpl w:val="84E85B52"/>
    <w:lvl w:ilvl="0" w:tplc="1D72E69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30"/>
    <w:rsid w:val="000011BB"/>
    <w:rsid w:val="00006E59"/>
    <w:rsid w:val="00070E70"/>
    <w:rsid w:val="00072551"/>
    <w:rsid w:val="00073690"/>
    <w:rsid w:val="00073B60"/>
    <w:rsid w:val="0007655F"/>
    <w:rsid w:val="000865F7"/>
    <w:rsid w:val="000B30C0"/>
    <w:rsid w:val="000C084B"/>
    <w:rsid w:val="000D1A3A"/>
    <w:rsid w:val="000D6484"/>
    <w:rsid w:val="001071A3"/>
    <w:rsid w:val="00113E9E"/>
    <w:rsid w:val="00131936"/>
    <w:rsid w:val="00133841"/>
    <w:rsid w:val="001428B5"/>
    <w:rsid w:val="00146057"/>
    <w:rsid w:val="00147B25"/>
    <w:rsid w:val="00156496"/>
    <w:rsid w:val="001616CE"/>
    <w:rsid w:val="001B4226"/>
    <w:rsid w:val="00203F2F"/>
    <w:rsid w:val="002118E6"/>
    <w:rsid w:val="002214D7"/>
    <w:rsid w:val="00264085"/>
    <w:rsid w:val="00277991"/>
    <w:rsid w:val="00281022"/>
    <w:rsid w:val="002A76B2"/>
    <w:rsid w:val="002D01CA"/>
    <w:rsid w:val="002D257B"/>
    <w:rsid w:val="002E145B"/>
    <w:rsid w:val="002F0515"/>
    <w:rsid w:val="00303478"/>
    <w:rsid w:val="00311C65"/>
    <w:rsid w:val="00321F9F"/>
    <w:rsid w:val="00326DE8"/>
    <w:rsid w:val="00336ED2"/>
    <w:rsid w:val="00352B09"/>
    <w:rsid w:val="00380AB2"/>
    <w:rsid w:val="00380C79"/>
    <w:rsid w:val="003822DD"/>
    <w:rsid w:val="00390BC2"/>
    <w:rsid w:val="00391853"/>
    <w:rsid w:val="003A125F"/>
    <w:rsid w:val="003A31B3"/>
    <w:rsid w:val="00417AE8"/>
    <w:rsid w:val="00426FE5"/>
    <w:rsid w:val="00442F66"/>
    <w:rsid w:val="00490578"/>
    <w:rsid w:val="004A1561"/>
    <w:rsid w:val="004A181B"/>
    <w:rsid w:val="004A6D1B"/>
    <w:rsid w:val="004B72E9"/>
    <w:rsid w:val="004E1034"/>
    <w:rsid w:val="004F3EF4"/>
    <w:rsid w:val="005337AD"/>
    <w:rsid w:val="005537A1"/>
    <w:rsid w:val="00572E0E"/>
    <w:rsid w:val="00575B54"/>
    <w:rsid w:val="005908F2"/>
    <w:rsid w:val="005D10E9"/>
    <w:rsid w:val="005D13A9"/>
    <w:rsid w:val="006124C6"/>
    <w:rsid w:val="00634764"/>
    <w:rsid w:val="00645B19"/>
    <w:rsid w:val="00656619"/>
    <w:rsid w:val="006878A2"/>
    <w:rsid w:val="00687C1D"/>
    <w:rsid w:val="00693828"/>
    <w:rsid w:val="006A4DBA"/>
    <w:rsid w:val="006A539B"/>
    <w:rsid w:val="006B770F"/>
    <w:rsid w:val="006C42B5"/>
    <w:rsid w:val="00707098"/>
    <w:rsid w:val="00715F21"/>
    <w:rsid w:val="007167A0"/>
    <w:rsid w:val="00721990"/>
    <w:rsid w:val="00731174"/>
    <w:rsid w:val="00747FF1"/>
    <w:rsid w:val="00750F61"/>
    <w:rsid w:val="00755744"/>
    <w:rsid w:val="00756D1F"/>
    <w:rsid w:val="00792249"/>
    <w:rsid w:val="007954FC"/>
    <w:rsid w:val="00796F4C"/>
    <w:rsid w:val="007B09B1"/>
    <w:rsid w:val="007B0E51"/>
    <w:rsid w:val="007E12E1"/>
    <w:rsid w:val="007F2CFB"/>
    <w:rsid w:val="007F33B4"/>
    <w:rsid w:val="007F4277"/>
    <w:rsid w:val="00811CCD"/>
    <w:rsid w:val="008234B8"/>
    <w:rsid w:val="008360BC"/>
    <w:rsid w:val="008455A5"/>
    <w:rsid w:val="00854EFC"/>
    <w:rsid w:val="0087760A"/>
    <w:rsid w:val="0088422A"/>
    <w:rsid w:val="0088623B"/>
    <w:rsid w:val="0088747A"/>
    <w:rsid w:val="008940B9"/>
    <w:rsid w:val="008A3F4C"/>
    <w:rsid w:val="008D73C2"/>
    <w:rsid w:val="008E23E0"/>
    <w:rsid w:val="008F66B4"/>
    <w:rsid w:val="00920209"/>
    <w:rsid w:val="009440A3"/>
    <w:rsid w:val="009502C6"/>
    <w:rsid w:val="00964DA6"/>
    <w:rsid w:val="0096645A"/>
    <w:rsid w:val="0097060A"/>
    <w:rsid w:val="0097577A"/>
    <w:rsid w:val="009B452D"/>
    <w:rsid w:val="009E240D"/>
    <w:rsid w:val="009F05E7"/>
    <w:rsid w:val="00A25C95"/>
    <w:rsid w:val="00A2663F"/>
    <w:rsid w:val="00A31475"/>
    <w:rsid w:val="00A51D73"/>
    <w:rsid w:val="00A7189A"/>
    <w:rsid w:val="00A759B1"/>
    <w:rsid w:val="00A8426B"/>
    <w:rsid w:val="00A92B20"/>
    <w:rsid w:val="00AB2BB0"/>
    <w:rsid w:val="00AF148E"/>
    <w:rsid w:val="00B07027"/>
    <w:rsid w:val="00B12C51"/>
    <w:rsid w:val="00B35506"/>
    <w:rsid w:val="00B42C01"/>
    <w:rsid w:val="00B47053"/>
    <w:rsid w:val="00B512EA"/>
    <w:rsid w:val="00B76341"/>
    <w:rsid w:val="00B85746"/>
    <w:rsid w:val="00B90B62"/>
    <w:rsid w:val="00BA1081"/>
    <w:rsid w:val="00BC0AFB"/>
    <w:rsid w:val="00BC7D6E"/>
    <w:rsid w:val="00BF5A01"/>
    <w:rsid w:val="00C004A8"/>
    <w:rsid w:val="00C27B60"/>
    <w:rsid w:val="00C34529"/>
    <w:rsid w:val="00C53C82"/>
    <w:rsid w:val="00C67313"/>
    <w:rsid w:val="00C86A53"/>
    <w:rsid w:val="00C87D30"/>
    <w:rsid w:val="00CE0315"/>
    <w:rsid w:val="00CE0D09"/>
    <w:rsid w:val="00CF66BA"/>
    <w:rsid w:val="00D20A87"/>
    <w:rsid w:val="00D32EF7"/>
    <w:rsid w:val="00D503C4"/>
    <w:rsid w:val="00D54EA3"/>
    <w:rsid w:val="00D643F2"/>
    <w:rsid w:val="00DB6FA6"/>
    <w:rsid w:val="00DB794E"/>
    <w:rsid w:val="00DD28A6"/>
    <w:rsid w:val="00DD74CD"/>
    <w:rsid w:val="00DF14DA"/>
    <w:rsid w:val="00E13E8E"/>
    <w:rsid w:val="00E21240"/>
    <w:rsid w:val="00E26662"/>
    <w:rsid w:val="00E4755E"/>
    <w:rsid w:val="00E6338B"/>
    <w:rsid w:val="00E644F3"/>
    <w:rsid w:val="00E73554"/>
    <w:rsid w:val="00E75F9F"/>
    <w:rsid w:val="00E82FC0"/>
    <w:rsid w:val="00E84DE5"/>
    <w:rsid w:val="00E96707"/>
    <w:rsid w:val="00EA3DEC"/>
    <w:rsid w:val="00EB5F6C"/>
    <w:rsid w:val="00EC4387"/>
    <w:rsid w:val="00F03210"/>
    <w:rsid w:val="00F075AC"/>
    <w:rsid w:val="00F208BA"/>
    <w:rsid w:val="00F2340E"/>
    <w:rsid w:val="00F334E1"/>
    <w:rsid w:val="00F40EDE"/>
    <w:rsid w:val="00F549D8"/>
    <w:rsid w:val="00F647F7"/>
    <w:rsid w:val="00F82476"/>
    <w:rsid w:val="00F9533C"/>
    <w:rsid w:val="00FB68F7"/>
    <w:rsid w:val="00FB7FB1"/>
    <w:rsid w:val="00FC006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A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0E9"/>
    <w:pPr>
      <w:spacing w:after="120" w:line="240" w:lineRule="auto"/>
      <w:ind w:right="6"/>
      <w:jc w:val="both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53"/>
      <w:ind w:right="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234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7167A0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67A0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167A0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7A0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8360BC"/>
    <w:pPr>
      <w:ind w:left="720"/>
      <w:contextualSpacing/>
    </w:pPr>
  </w:style>
  <w:style w:type="paragraph" w:customStyle="1" w:styleId="BSKHStandard">
    <w:name w:val="BSKH_Standard"/>
    <w:basedOn w:val="Standaard"/>
    <w:rsid w:val="00336ED2"/>
    <w:pPr>
      <w:overflowPunct w:val="0"/>
      <w:autoSpaceDE w:val="0"/>
      <w:autoSpaceDN w:val="0"/>
      <w:adjustRightInd w:val="0"/>
      <w:spacing w:after="0" w:line="320" w:lineRule="exact"/>
      <w:ind w:right="0"/>
      <w:jc w:val="left"/>
      <w:textAlignment w:val="baseline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4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4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234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5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5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506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5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50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e">
    <w:name w:val="Revision"/>
    <w:hidden/>
    <w:uiPriority w:val="99"/>
    <w:semiHidden/>
    <w:rsid w:val="00A7189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13D3-A7AA-46B0-BC44-DBE537D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2022-01-25T11:50:00Z</dcterms:created>
  <dcterms:modified xsi:type="dcterms:W3CDTF">2022-01-25T11:52:00Z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aa366c-74b9-492b-a1b9-5472c41e7d31_Enabled">
    <vt:lpwstr>True</vt:lpwstr>
  </property>
  <property fmtid="{D5CDD505-2E9C-101B-9397-08002B2CF9AE}" pid="3" name="MSIP_Label_73aa366c-74b9-492b-a1b9-5472c41e7d31_SiteId">
    <vt:lpwstr>44bbd632-fe04-42d7-933e-2649dcd22649</vt:lpwstr>
  </property>
  <property fmtid="{D5CDD505-2E9C-101B-9397-08002B2CF9AE}" pid="4" name="MSIP_Label_73aa366c-74b9-492b-a1b9-5472c41e7d31_Owner">
    <vt:lpwstr>jaap.borst@tatasteeleurope.com</vt:lpwstr>
  </property>
  <property fmtid="{D5CDD505-2E9C-101B-9397-08002B2CF9AE}" pid="5" name="MSIP_Label_73aa366c-74b9-492b-a1b9-5472c41e7d31_SetDate">
    <vt:lpwstr>2020-12-22T18:34:59.7471388Z</vt:lpwstr>
  </property>
  <property fmtid="{D5CDD505-2E9C-101B-9397-08002B2CF9AE}" pid="6" name="MSIP_Label_73aa366c-74b9-492b-a1b9-5472c41e7d31_Name">
    <vt:lpwstr>General</vt:lpwstr>
  </property>
  <property fmtid="{D5CDD505-2E9C-101B-9397-08002B2CF9AE}" pid="7" name="MSIP_Label_73aa366c-74b9-492b-a1b9-5472c41e7d31_Application">
    <vt:lpwstr>Microsoft Azure Information Protection</vt:lpwstr>
  </property>
  <property fmtid="{D5CDD505-2E9C-101B-9397-08002B2CF9AE}" pid="8" name="MSIP_Label_73aa366c-74b9-492b-a1b9-5472c41e7d31_ActionId">
    <vt:lpwstr>d8b363b8-3656-486c-b84e-7f590c734c9b</vt:lpwstr>
  </property>
  <property fmtid="{D5CDD505-2E9C-101B-9397-08002B2CF9AE}" pid="9" name="MSIP_Label_73aa366c-74b9-492b-a1b9-5472c41e7d31_Extended_MSFT_Method">
    <vt:lpwstr>Automatic</vt:lpwstr>
  </property>
  <property fmtid="{D5CDD505-2E9C-101B-9397-08002B2CF9AE}" pid="10" name="Sensitivity">
    <vt:lpwstr>General</vt:lpwstr>
  </property>
</Properties>
</file>